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62F67102" w:rsidR="00BA3364" w:rsidRDefault="00BA3364" w:rsidP="008C536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sidR="00BF4936">
            <w:rPr>
              <w:rFonts w:cs="Calibri"/>
              <w:b/>
              <w:i/>
              <w:color w:val="404040"/>
              <w:sz w:val="40"/>
              <w:szCs w:val="40"/>
              <w:lang w:val="en-GB"/>
            </w:rPr>
            <w:t>Tecnotree</w:t>
          </w:r>
        </w:p>
        <w:p w14:paraId="514950AB" w14:textId="77777777" w:rsidR="00F15F16" w:rsidRPr="00BA3364" w:rsidRDefault="00F15F16" w:rsidP="008C536F">
          <w:pPr>
            <w:keepNext/>
            <w:keepLines/>
            <w:spacing w:line="340" w:lineRule="atLeast"/>
            <w:ind w:left="709"/>
            <w:rPr>
              <w:rFonts w:cs="Calibri"/>
              <w:i/>
              <w:color w:val="404040"/>
              <w:sz w:val="40"/>
              <w:szCs w:val="40"/>
              <w:lang w:val="en-GB"/>
            </w:rPr>
          </w:pPr>
        </w:p>
        <w:p w14:paraId="70B4FDD5" w14:textId="77777777" w:rsidR="000E61A7"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7128A426" w14:textId="6A7AD3FB" w:rsidR="00BA3364" w:rsidRDefault="00BF4936" w:rsidP="008C536F">
          <w:pPr>
            <w:keepNext/>
            <w:keepLines/>
            <w:spacing w:line="340" w:lineRule="atLeast"/>
            <w:ind w:left="709"/>
            <w:rPr>
              <w:rFonts w:cs="Calibri"/>
              <w:b/>
              <w:i/>
              <w:color w:val="404040"/>
              <w:sz w:val="40"/>
              <w:szCs w:val="40"/>
              <w:lang w:val="en-GB"/>
            </w:rPr>
          </w:pPr>
          <w:r>
            <w:rPr>
              <w:rFonts w:cs="Calibri"/>
              <w:b/>
              <w:i/>
              <w:color w:val="404040"/>
              <w:sz w:val="40"/>
              <w:szCs w:val="40"/>
              <w:lang w:val="en-GB"/>
            </w:rPr>
            <w:t>Prepay Balance Management API – TMF 654</w:t>
          </w:r>
        </w:p>
        <w:p w14:paraId="273D0634" w14:textId="77777777" w:rsidR="00E2480C" w:rsidRPr="00BA3364" w:rsidRDefault="00E2480C" w:rsidP="008C536F">
          <w:pPr>
            <w:keepNext/>
            <w:keepLines/>
            <w:spacing w:line="340" w:lineRule="atLeast"/>
            <w:ind w:left="709"/>
            <w:rPr>
              <w:rFonts w:cs="Calibri"/>
              <w:i/>
              <w:color w:val="404040"/>
              <w:sz w:val="40"/>
              <w:szCs w:val="40"/>
              <w:lang w:val="en-GB"/>
            </w:rPr>
          </w:pPr>
        </w:p>
        <w:p w14:paraId="3F2E29AF" w14:textId="52F8FB4B"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1E60CA">
            <w:rPr>
              <w:rFonts w:cs="Calibri"/>
              <w:b/>
              <w:i/>
              <w:color w:val="404040"/>
              <w:sz w:val="40"/>
              <w:szCs w:val="40"/>
              <w:lang w:val="en-GB"/>
            </w:rPr>
            <w:t>20.5</w:t>
          </w:r>
          <w:r w:rsidR="000E61A7">
            <w:rPr>
              <w:rFonts w:cs="Calibri"/>
              <w:b/>
              <w:i/>
              <w:color w:val="404040"/>
              <w:sz w:val="40"/>
              <w:szCs w:val="40"/>
              <w:lang w:val="en-GB"/>
            </w:rPr>
            <w:t xml:space="preserve"> </w:t>
          </w:r>
          <w:r w:rsidR="001E60CA">
            <w:rPr>
              <w:rFonts w:cs="Calibri"/>
              <w:b/>
              <w:i/>
              <w:color w:val="404040"/>
              <w:sz w:val="40"/>
              <w:szCs w:val="40"/>
              <w:lang w:val="en-GB"/>
            </w:rPr>
            <w:t>/ 4.0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6B8DCB5A" w14:textId="04A890EF" w:rsidR="00E2480C" w:rsidRDefault="00E2480C" w:rsidP="008C536F">
          <w:pPr>
            <w:tabs>
              <w:tab w:val="right" w:pos="9360"/>
            </w:tabs>
            <w:ind w:left="709"/>
            <w:rPr>
              <w:rFonts w:cs="Calibri"/>
              <w:b/>
              <w:color w:val="404040"/>
              <w:sz w:val="36"/>
            </w:rPr>
          </w:pPr>
        </w:p>
        <w:p w14:paraId="74B522FA" w14:textId="77777777" w:rsidR="00E2480C" w:rsidRPr="0091413C" w:rsidRDefault="00E2480C" w:rsidP="008C536F">
          <w:pPr>
            <w:tabs>
              <w:tab w:val="right" w:pos="9360"/>
            </w:tabs>
            <w:ind w:left="709"/>
            <w:rPr>
              <w:rFonts w:cs="Calibri"/>
              <w:b/>
              <w:color w:val="404040"/>
              <w:sz w:val="36"/>
            </w:rPr>
          </w:pPr>
        </w:p>
        <w:p w14:paraId="501D5CCE" w14:textId="26F71E4D" w:rsidR="00EE1557" w:rsidRDefault="00EE1557" w:rsidP="008C536F">
          <w:pPr>
            <w:tabs>
              <w:tab w:val="right" w:pos="9360"/>
            </w:tabs>
            <w:ind w:left="709"/>
            <w:rPr>
              <w:rFonts w:cs="Calibri"/>
              <w:b/>
              <w:color w:val="404040"/>
              <w:sz w:val="36"/>
            </w:rPr>
          </w:pPr>
        </w:p>
        <w:p w14:paraId="71523820" w14:textId="77777777" w:rsidR="00B01AE1" w:rsidRPr="0091413C" w:rsidRDefault="00B01AE1"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72B63A29" w14:textId="5692B628" w:rsidR="000E61A7" w:rsidRDefault="00282704" w:rsidP="00E2480C">
          <w:pPr>
            <w:tabs>
              <w:tab w:val="right" w:pos="9360"/>
            </w:tabs>
            <w:ind w:left="709"/>
            <w:rPr>
              <w:rFonts w:cs="Calibri"/>
              <w:b/>
              <w:color w:val="404040"/>
              <w:sz w:val="36"/>
            </w:rPr>
          </w:pPr>
          <w:r w:rsidRPr="00282704">
            <w:rPr>
              <w:rFonts w:cs="Calibri"/>
              <w:b/>
              <w:color w:val="404040"/>
              <w:sz w:val="36"/>
            </w:rPr>
            <w:t xml:space="preserve">Report Date: </w:t>
          </w:r>
          <w:r w:rsidR="001E60CA">
            <w:rPr>
              <w:rFonts w:cs="Calibri"/>
              <w:b/>
              <w:color w:val="404040"/>
              <w:sz w:val="36"/>
            </w:rPr>
            <w:t>4</w:t>
          </w:r>
          <w:r w:rsidR="001E60CA" w:rsidRPr="001E60CA">
            <w:rPr>
              <w:rFonts w:cs="Calibri"/>
              <w:b/>
              <w:color w:val="404040"/>
              <w:sz w:val="36"/>
              <w:vertAlign w:val="superscript"/>
            </w:rPr>
            <w:t>th</w:t>
          </w:r>
          <w:r w:rsidR="001E60CA">
            <w:rPr>
              <w:rFonts w:cs="Calibri"/>
              <w:b/>
              <w:color w:val="404040"/>
              <w:sz w:val="36"/>
            </w:rPr>
            <w:t xml:space="preserve"> September 2021</w:t>
          </w:r>
        </w:p>
        <w:p w14:paraId="5562FDF0" w14:textId="77777777" w:rsidR="000E61A7" w:rsidRDefault="000E61A7">
          <w:pPr>
            <w:rPr>
              <w:rFonts w:cs="Calibri"/>
              <w:b/>
              <w:color w:val="404040"/>
              <w:sz w:val="36"/>
            </w:rPr>
          </w:pPr>
          <w:r>
            <w:rPr>
              <w:rFonts w:cs="Calibri"/>
              <w:b/>
              <w:color w:val="404040"/>
              <w:sz w:val="36"/>
            </w:rPr>
            <w:br w:type="page"/>
          </w:r>
        </w:p>
        <w:p w14:paraId="103C2725" w14:textId="03A32D0F" w:rsidR="00282704" w:rsidRDefault="001C2149" w:rsidP="001E60CA"/>
      </w:sdtContent>
    </w:sdt>
    <w:bookmarkStart w:id="0" w:name="_Ref320697427" w:displacedByCustomXml="prev"/>
    <w:bookmarkStart w:id="1" w:name="_Toc383691178"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What Product or Solution does your API support?</w:t>
      </w:r>
    </w:p>
    <w:p w14:paraId="3DB1DBB5" w14:textId="604BAE61" w:rsidR="004866E9" w:rsidRDefault="004866E9" w:rsidP="008C536F">
      <w:pPr>
        <w:ind w:left="709"/>
        <w:rPr>
          <w:sz w:val="32"/>
        </w:rPr>
      </w:pPr>
    </w:p>
    <w:p w14:paraId="0DE74E0E" w14:textId="77777777" w:rsidR="001E60CA" w:rsidRDefault="001E60CA" w:rsidP="001E60CA">
      <w:pPr>
        <w:ind w:left="709"/>
        <w:jc w:val="both"/>
        <w:rPr>
          <w:sz w:val="32"/>
        </w:rPr>
      </w:pPr>
      <w:r w:rsidRPr="009B32E1">
        <w:rPr>
          <w:sz w:val="32"/>
        </w:rPr>
        <w:t xml:space="preserve">We are in an era of Digital Transformation. The changes in technologies have been rapid and significant. Due to the revolution brought by invention of mobile phone and internet, people are increasingly connected with each other and to the online world. </w:t>
      </w:r>
    </w:p>
    <w:p w14:paraId="7DAA32E5" w14:textId="77777777" w:rsidR="001E60CA" w:rsidRPr="009B32E1" w:rsidRDefault="001E60CA" w:rsidP="001E60CA">
      <w:pPr>
        <w:ind w:left="709"/>
        <w:jc w:val="both"/>
        <w:rPr>
          <w:sz w:val="32"/>
        </w:rPr>
      </w:pPr>
    </w:p>
    <w:p w14:paraId="056F63CC" w14:textId="77777777" w:rsidR="001E60CA" w:rsidRPr="009B32E1" w:rsidRDefault="001E60CA" w:rsidP="001E60CA">
      <w:pPr>
        <w:ind w:left="709"/>
        <w:jc w:val="both"/>
        <w:rPr>
          <w:sz w:val="32"/>
        </w:rPr>
      </w:pPr>
      <w:r w:rsidRPr="009B32E1">
        <w:rPr>
          <w:sz w:val="32"/>
        </w:rPr>
        <w:t xml:space="preserve">This transformation necessitates the CSPs to re-invent themselves to provide a high performance, highly reliable infrastructure, which can scale based on requirement, but reduce the overall expenditure. A few years back, this was not possible when horizontal scaling (clone hardware for growth) was the only option available to the Operators. More Subscribers or more usage meant, buy more hardware. Hardware is expensive and does not guarantee seamless scaling with growth. </w:t>
      </w:r>
    </w:p>
    <w:p w14:paraId="1D542C1A" w14:textId="77777777" w:rsidR="001E60CA" w:rsidRPr="009B32E1" w:rsidRDefault="001E60CA" w:rsidP="001E60CA">
      <w:pPr>
        <w:ind w:left="709"/>
        <w:jc w:val="both"/>
        <w:rPr>
          <w:sz w:val="32"/>
        </w:rPr>
      </w:pPr>
    </w:p>
    <w:p w14:paraId="412CB49E" w14:textId="7AB930D8" w:rsidR="001E60CA" w:rsidRDefault="001E60CA" w:rsidP="001E60CA">
      <w:pPr>
        <w:ind w:left="709"/>
        <w:jc w:val="both"/>
        <w:rPr>
          <w:sz w:val="32"/>
        </w:rPr>
      </w:pPr>
      <w:r w:rsidRPr="009B32E1">
        <w:rPr>
          <w:sz w:val="32"/>
        </w:rPr>
        <w:t>Tecnotree has decades of expertise in charging products and platform. By leveraging the same and investing in emerging digital technologies, Tecnotree is capable of catering to the vision and upscaling Charging as part of digital journey.</w:t>
      </w:r>
    </w:p>
    <w:p w14:paraId="2D93CAED" w14:textId="77777777" w:rsidR="001E60CA" w:rsidRPr="009B32E1" w:rsidRDefault="001E60CA" w:rsidP="001E60CA">
      <w:pPr>
        <w:ind w:left="709"/>
        <w:jc w:val="both"/>
        <w:rPr>
          <w:sz w:val="32"/>
        </w:rPr>
      </w:pPr>
    </w:p>
    <w:p w14:paraId="6B19DCB3" w14:textId="290B1EE4" w:rsidR="001E60CA" w:rsidRPr="001E60CA" w:rsidRDefault="001E60CA" w:rsidP="001E60CA">
      <w:pPr>
        <w:ind w:left="709"/>
        <w:jc w:val="both"/>
        <w:rPr>
          <w:b/>
          <w:sz w:val="32"/>
        </w:rPr>
      </w:pPr>
      <w:r w:rsidRPr="009B32E1">
        <w:rPr>
          <w:sz w:val="32"/>
        </w:rPr>
        <w:t xml:space="preserve">Tecnotree </w:t>
      </w:r>
      <w:r w:rsidRPr="001E60CA">
        <w:rPr>
          <w:b/>
          <w:sz w:val="32"/>
        </w:rPr>
        <w:t>DOCS</w:t>
      </w:r>
      <w:r>
        <w:rPr>
          <w:b/>
          <w:sz w:val="32"/>
        </w:rPr>
        <w:t xml:space="preserve"> (Digital Online Charging System)</w:t>
      </w:r>
      <w:r w:rsidRPr="009B32E1">
        <w:rPr>
          <w:sz w:val="32"/>
        </w:rPr>
        <w:t xml:space="preserve"> provides a Standard based, highly flexible and feature rich rating and balance management solution allowing CSPs to capture revenue from any service, independently of the payment method and the delivery channel chosen by the subscriber. </w:t>
      </w:r>
    </w:p>
    <w:p w14:paraId="5A34ADEC" w14:textId="77777777" w:rsidR="001E60CA" w:rsidRPr="009B32E1" w:rsidRDefault="001E60CA" w:rsidP="001E60CA">
      <w:pPr>
        <w:ind w:left="709"/>
        <w:jc w:val="both"/>
        <w:rPr>
          <w:sz w:val="32"/>
        </w:rPr>
      </w:pPr>
    </w:p>
    <w:p w14:paraId="320109FB" w14:textId="77777777" w:rsidR="001E60CA" w:rsidRPr="009B32E1" w:rsidRDefault="001E60CA" w:rsidP="001E60CA">
      <w:pPr>
        <w:ind w:left="709"/>
        <w:jc w:val="both"/>
        <w:rPr>
          <w:sz w:val="32"/>
        </w:rPr>
      </w:pPr>
      <w:r w:rsidRPr="009B32E1">
        <w:rPr>
          <w:sz w:val="32"/>
        </w:rPr>
        <w:t xml:space="preserve">Tecnotree DOCS supports Prepaid as well as Post-paid Subscriber base, with varied rating and charging services for Voice calls, SMS events and data sessions. </w:t>
      </w:r>
    </w:p>
    <w:p w14:paraId="6CE8B474" w14:textId="77777777" w:rsidR="001E60CA" w:rsidRPr="009B32E1" w:rsidRDefault="001E60CA" w:rsidP="001E60CA">
      <w:pPr>
        <w:ind w:left="709"/>
        <w:jc w:val="both"/>
        <w:rPr>
          <w:sz w:val="32"/>
        </w:rPr>
      </w:pPr>
    </w:p>
    <w:p w14:paraId="365FB0EA" w14:textId="77777777" w:rsidR="001E60CA" w:rsidRPr="009B32E1" w:rsidRDefault="001E60CA" w:rsidP="001E60CA">
      <w:pPr>
        <w:ind w:left="709"/>
        <w:jc w:val="both"/>
        <w:rPr>
          <w:sz w:val="32"/>
        </w:rPr>
      </w:pPr>
      <w:r w:rsidRPr="009B32E1">
        <w:rPr>
          <w:sz w:val="32"/>
        </w:rPr>
        <w:t>The flexible tariff configuration capabilities combined with an optional Policy Management functionality allows CSPs to gain back the control of the network usage and to offer intelligent data allowance bundles quickly, while allowing the addition of a variety of ARPU increasing “booster” packages.</w:t>
      </w:r>
    </w:p>
    <w:p w14:paraId="1012D4B5" w14:textId="77777777" w:rsidR="001E60CA" w:rsidRPr="009B32E1" w:rsidRDefault="001E60CA" w:rsidP="001E60CA">
      <w:pPr>
        <w:ind w:left="709"/>
        <w:jc w:val="both"/>
        <w:rPr>
          <w:sz w:val="32"/>
        </w:rPr>
      </w:pPr>
    </w:p>
    <w:p w14:paraId="3D76D31C" w14:textId="77777777" w:rsidR="001E60CA" w:rsidRPr="009B32E1" w:rsidRDefault="001E60CA" w:rsidP="001E60CA">
      <w:pPr>
        <w:ind w:left="709"/>
        <w:jc w:val="both"/>
        <w:rPr>
          <w:sz w:val="32"/>
        </w:rPr>
      </w:pPr>
      <w:r w:rsidRPr="009B32E1">
        <w:rPr>
          <w:sz w:val="32"/>
        </w:rPr>
        <w:t>Tecnotree DOCS introduces the unique user-payer paradigm allowing the user of the service to be separated from the payer. The user-payer relationship is configurable and can be set e.g. to allow all calls from children to their parents independently of the balance available on the child’s account. Combined with support for multi-level hierarchies and self-care functionality, the solution empowers the head of the family to decide what, when and how much of the sub-account owners’ (e.g. children) usage is paid for by the main account owner, allowing full control of communications expenditure of the whole family.</w:t>
      </w:r>
    </w:p>
    <w:p w14:paraId="128DAB39" w14:textId="77777777" w:rsidR="001E60CA" w:rsidRPr="009B32E1" w:rsidRDefault="001E60CA" w:rsidP="001E60CA">
      <w:pPr>
        <w:ind w:left="709"/>
        <w:jc w:val="both"/>
        <w:rPr>
          <w:sz w:val="32"/>
        </w:rPr>
      </w:pPr>
      <w:r w:rsidRPr="009B32E1">
        <w:rPr>
          <w:sz w:val="32"/>
        </w:rPr>
        <w:t xml:space="preserve">The same functionality can also be applied in a corporate context, to limit the company’s exposure to runaway usage of services by employees. In the enterprise context, the payer definition can be based on call type (e.g. local, national, international), event type (e.g. SM MO, SM MT, MMS MO) and date or time (e.g. national holiday, weekday/weekend, business hours/outside of business hours) among other criteria. </w:t>
      </w:r>
    </w:p>
    <w:p w14:paraId="5FEE5936" w14:textId="77777777" w:rsidR="001E60CA" w:rsidRPr="009B32E1" w:rsidRDefault="001E60CA" w:rsidP="001E60CA">
      <w:pPr>
        <w:ind w:left="709"/>
        <w:jc w:val="both"/>
        <w:rPr>
          <w:sz w:val="32"/>
        </w:rPr>
      </w:pPr>
    </w:p>
    <w:p w14:paraId="55E14C99" w14:textId="77777777" w:rsidR="001E60CA" w:rsidRPr="009B32E1" w:rsidRDefault="001E60CA" w:rsidP="001E60CA">
      <w:pPr>
        <w:ind w:left="709"/>
        <w:jc w:val="both"/>
        <w:rPr>
          <w:sz w:val="32"/>
        </w:rPr>
      </w:pPr>
      <w:r w:rsidRPr="009B32E1">
        <w:rPr>
          <w:sz w:val="32"/>
        </w:rPr>
        <w:t xml:space="preserve">The solution supports multiple levels of account hierarchies with a top-down definition of credit limits. The hierarchy allows the account administrator (corporate manager or the head of the family) to manage the credit limit definition per service and per sub-hierarchy. </w:t>
      </w:r>
    </w:p>
    <w:p w14:paraId="3F447D92" w14:textId="77777777" w:rsidR="001E60CA" w:rsidRDefault="001E60CA" w:rsidP="001E60CA">
      <w:pPr>
        <w:ind w:left="709"/>
        <w:jc w:val="both"/>
        <w:rPr>
          <w:sz w:val="32"/>
        </w:rPr>
      </w:pPr>
      <w:r w:rsidRPr="009B32E1">
        <w:rPr>
          <w:sz w:val="32"/>
        </w:rPr>
        <w:t>Combined with Tecnotree Enterprise VPN solution, the user-payer paradigm offers a flexible, yet easy to use way to gain full control of corporate or family communications spending while maintaining the benefits of a single-SIM solution for the users.</w:t>
      </w:r>
      <w:r w:rsidRPr="00216E6B">
        <w:rPr>
          <w:sz w:val="32"/>
        </w:rPr>
        <w:t xml:space="preserve"> </w:t>
      </w:r>
    </w:p>
    <w:p w14:paraId="526DA4D7" w14:textId="77777777" w:rsidR="001E60CA" w:rsidRPr="008C536F" w:rsidRDefault="001E60CA" w:rsidP="008C536F">
      <w:pPr>
        <w:ind w:left="709"/>
        <w:rPr>
          <w:sz w:val="32"/>
        </w:rPr>
      </w:pPr>
    </w:p>
    <w:p w14:paraId="0AC24E9A" w14:textId="67409620" w:rsidR="000E61A7" w:rsidRDefault="000E61A7">
      <w:pPr>
        <w:rPr>
          <w:sz w:val="32"/>
        </w:rPr>
      </w:pPr>
      <w:r>
        <w:rPr>
          <w:sz w:val="32"/>
        </w:rPr>
        <w:br w:type="page"/>
      </w: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3D3028E0" w:rsidR="00CC2BF6" w:rsidRDefault="00CC2BF6" w:rsidP="008C536F">
      <w:pPr>
        <w:ind w:left="709"/>
        <w:rPr>
          <w:sz w:val="32"/>
        </w:rPr>
      </w:pPr>
      <w:bookmarkStart w:id="2" w:name="_Hlk48665866"/>
      <w:bookmarkStart w:id="3" w:name="_Toc490661761"/>
      <w:bookmarkStart w:id="4" w:name="_Toc308441422"/>
      <w:bookmarkEnd w:id="1"/>
      <w:bookmarkEnd w:id="0"/>
    </w:p>
    <w:p w14:paraId="04679647" w14:textId="77777777" w:rsidR="00B17730" w:rsidRPr="00B17730" w:rsidRDefault="00B17730" w:rsidP="00B17730">
      <w:pPr>
        <w:ind w:left="709"/>
        <w:rPr>
          <w:sz w:val="32"/>
        </w:rPr>
      </w:pPr>
      <w:r w:rsidRPr="00B17730">
        <w:rPr>
          <w:sz w:val="32"/>
        </w:rPr>
        <w:t xml:space="preserve">Tecnotree OCS provides a Standard based, highly flexible and feature rich rating and balance management solution allowing DSPs to capture revenue from any service, independently of the payment method and the delivery channel chosen by the subscriber. </w:t>
      </w:r>
    </w:p>
    <w:p w14:paraId="48363367" w14:textId="076D1C48" w:rsidR="00B17730" w:rsidRDefault="00B17730" w:rsidP="00B17730">
      <w:pPr>
        <w:ind w:left="709"/>
        <w:rPr>
          <w:sz w:val="32"/>
        </w:rPr>
      </w:pPr>
      <w:r w:rsidRPr="00B17730">
        <w:rPr>
          <w:sz w:val="32"/>
        </w:rPr>
        <w:t>Tecnotree OCS supports Prepaid as well as Post-paid Subscriber base, with varie</w:t>
      </w:r>
      <w:r w:rsidR="00C4060D">
        <w:rPr>
          <w:sz w:val="32"/>
        </w:rPr>
        <w:t>d rating and charging services.</w:t>
      </w:r>
    </w:p>
    <w:p w14:paraId="4ABAD482" w14:textId="1E4B422B" w:rsidR="00B17730" w:rsidRDefault="00B17730" w:rsidP="00B17730">
      <w:pPr>
        <w:ind w:left="709"/>
        <w:rPr>
          <w:sz w:val="32"/>
        </w:rPr>
      </w:pPr>
      <w:r>
        <w:rPr>
          <w:sz w:val="32"/>
        </w:rPr>
        <w:t xml:space="preserve">Prepay Balance Management API is managed by the Tecnotree’ s Digital Online Charging System (DOCS). DOCS provide Open APIs/REST Based APIs in line with TM Forum defined specification that allows </w:t>
      </w:r>
      <w:r w:rsidRPr="003137E8">
        <w:rPr>
          <w:sz w:val="32"/>
        </w:rPr>
        <w:t xml:space="preserve">management of the entire lifecycle of the </w:t>
      </w:r>
      <w:r>
        <w:rPr>
          <w:sz w:val="32"/>
        </w:rPr>
        <w:t xml:space="preserve">Service </w:t>
      </w:r>
      <w:r w:rsidRPr="003137E8">
        <w:rPr>
          <w:sz w:val="32"/>
        </w:rPr>
        <w:t>catalog elements</w:t>
      </w:r>
      <w:r>
        <w:rPr>
          <w:sz w:val="32"/>
        </w:rPr>
        <w:t>.</w:t>
      </w:r>
    </w:p>
    <w:p w14:paraId="4A486171" w14:textId="3C92BA35" w:rsidR="00B17730" w:rsidRDefault="00B17730" w:rsidP="00B17730">
      <w:pPr>
        <w:ind w:left="709"/>
        <w:rPr>
          <w:sz w:val="32"/>
        </w:rPr>
      </w:pPr>
      <w:r w:rsidRPr="00B17730">
        <w:rPr>
          <w:sz w:val="32"/>
        </w:rPr>
        <w:t xml:space="preserve">Prepay Balance Management API manages the balance, recharge (top-up) and transfer resources. The supported operations </w:t>
      </w:r>
      <w:r w:rsidR="00C4060D">
        <w:rPr>
          <w:sz w:val="32"/>
        </w:rPr>
        <w:t>are</w:t>
      </w:r>
      <w:r w:rsidRPr="00B17730">
        <w:rPr>
          <w:sz w:val="32"/>
        </w:rPr>
        <w:t>:</w:t>
      </w:r>
    </w:p>
    <w:p w14:paraId="63FE6A21" w14:textId="77777777" w:rsidR="000E61A7" w:rsidRPr="00B17730" w:rsidRDefault="000E61A7" w:rsidP="00B17730">
      <w:pPr>
        <w:ind w:left="709"/>
        <w:rPr>
          <w:sz w:val="32"/>
        </w:rPr>
      </w:pPr>
    </w:p>
    <w:p w14:paraId="55CF1639" w14:textId="1BC627F1" w:rsidR="00B17730" w:rsidRPr="00B17730" w:rsidRDefault="000E61A7" w:rsidP="000E61A7">
      <w:pPr>
        <w:pStyle w:val="ListParagraph"/>
        <w:numPr>
          <w:ilvl w:val="0"/>
          <w:numId w:val="3"/>
        </w:numPr>
        <w:tabs>
          <w:tab w:val="left" w:pos="1701"/>
        </w:tabs>
        <w:rPr>
          <w:sz w:val="32"/>
        </w:rPr>
      </w:pPr>
      <w:r>
        <w:rPr>
          <w:sz w:val="32"/>
        </w:rPr>
        <w:tab/>
      </w:r>
      <w:r w:rsidR="00B17730" w:rsidRPr="00B17730">
        <w:rPr>
          <w:sz w:val="32"/>
        </w:rPr>
        <w:t>Balance</w:t>
      </w:r>
    </w:p>
    <w:p w14:paraId="04947150" w14:textId="1BF71AF9" w:rsidR="00B17730" w:rsidRPr="00B17730" w:rsidRDefault="000E61A7" w:rsidP="000E61A7">
      <w:pPr>
        <w:pStyle w:val="ListParagraph"/>
        <w:numPr>
          <w:ilvl w:val="0"/>
          <w:numId w:val="3"/>
        </w:numPr>
        <w:tabs>
          <w:tab w:val="left" w:pos="1701"/>
        </w:tabs>
        <w:rPr>
          <w:sz w:val="32"/>
        </w:rPr>
      </w:pPr>
      <w:r>
        <w:rPr>
          <w:sz w:val="32"/>
        </w:rPr>
        <w:tab/>
      </w:r>
      <w:r w:rsidR="00B17730" w:rsidRPr="00B17730">
        <w:rPr>
          <w:sz w:val="32"/>
        </w:rPr>
        <w:t>Balance Deduct</w:t>
      </w:r>
    </w:p>
    <w:p w14:paraId="4DCBAD0E" w14:textId="71D294CD" w:rsidR="00B17730" w:rsidRPr="00B17730" w:rsidRDefault="000E61A7" w:rsidP="000E61A7">
      <w:pPr>
        <w:pStyle w:val="ListParagraph"/>
        <w:numPr>
          <w:ilvl w:val="0"/>
          <w:numId w:val="3"/>
        </w:numPr>
        <w:tabs>
          <w:tab w:val="left" w:pos="1701"/>
        </w:tabs>
        <w:rPr>
          <w:sz w:val="32"/>
        </w:rPr>
      </w:pPr>
      <w:r>
        <w:rPr>
          <w:sz w:val="32"/>
        </w:rPr>
        <w:tab/>
      </w:r>
      <w:r w:rsidR="00B17730" w:rsidRPr="00B17730">
        <w:rPr>
          <w:sz w:val="32"/>
        </w:rPr>
        <w:t>Balance Top Up</w:t>
      </w:r>
    </w:p>
    <w:p w14:paraId="19BAC542" w14:textId="36A36E37" w:rsidR="00B17730" w:rsidRPr="00B17730" w:rsidRDefault="000E61A7" w:rsidP="000E61A7">
      <w:pPr>
        <w:pStyle w:val="ListParagraph"/>
        <w:numPr>
          <w:ilvl w:val="0"/>
          <w:numId w:val="3"/>
        </w:numPr>
        <w:tabs>
          <w:tab w:val="left" w:pos="1701"/>
        </w:tabs>
        <w:rPr>
          <w:sz w:val="32"/>
        </w:rPr>
      </w:pPr>
      <w:r>
        <w:rPr>
          <w:sz w:val="32"/>
        </w:rPr>
        <w:tab/>
      </w:r>
      <w:r w:rsidR="00B17730" w:rsidRPr="00B17730">
        <w:rPr>
          <w:sz w:val="32"/>
        </w:rPr>
        <w:t>Balance Transfer</w:t>
      </w:r>
    </w:p>
    <w:p w14:paraId="2D2E4048" w14:textId="36C803A1" w:rsidR="00B17730" w:rsidRPr="00B17730" w:rsidRDefault="000E61A7" w:rsidP="000E61A7">
      <w:pPr>
        <w:pStyle w:val="ListParagraph"/>
        <w:numPr>
          <w:ilvl w:val="0"/>
          <w:numId w:val="3"/>
        </w:numPr>
        <w:tabs>
          <w:tab w:val="left" w:pos="1701"/>
        </w:tabs>
        <w:rPr>
          <w:sz w:val="32"/>
        </w:rPr>
      </w:pPr>
      <w:r>
        <w:rPr>
          <w:sz w:val="32"/>
        </w:rPr>
        <w:tab/>
      </w:r>
      <w:r w:rsidR="00B17730" w:rsidRPr="00B17730">
        <w:rPr>
          <w:sz w:val="32"/>
        </w:rPr>
        <w:t>Balance Adjustment</w:t>
      </w:r>
    </w:p>
    <w:p w14:paraId="6264D2AF" w14:textId="3240148D" w:rsidR="00B17730" w:rsidRPr="00B17730" w:rsidRDefault="000E61A7" w:rsidP="000E61A7">
      <w:pPr>
        <w:pStyle w:val="ListParagraph"/>
        <w:numPr>
          <w:ilvl w:val="0"/>
          <w:numId w:val="3"/>
        </w:numPr>
        <w:tabs>
          <w:tab w:val="left" w:pos="1701"/>
        </w:tabs>
        <w:rPr>
          <w:sz w:val="32"/>
        </w:rPr>
      </w:pPr>
      <w:r>
        <w:rPr>
          <w:sz w:val="32"/>
        </w:rPr>
        <w:tab/>
      </w:r>
      <w:r w:rsidR="00B17730" w:rsidRPr="00B17730">
        <w:rPr>
          <w:sz w:val="32"/>
        </w:rPr>
        <w:t>Bucket Balance</w:t>
      </w:r>
    </w:p>
    <w:p w14:paraId="50F37D2F" w14:textId="5F612FA0" w:rsidR="00B17730" w:rsidRPr="00B17730" w:rsidRDefault="000E61A7" w:rsidP="000E61A7">
      <w:pPr>
        <w:pStyle w:val="ListParagraph"/>
        <w:numPr>
          <w:ilvl w:val="0"/>
          <w:numId w:val="3"/>
        </w:numPr>
        <w:tabs>
          <w:tab w:val="left" w:pos="1701"/>
        </w:tabs>
        <w:rPr>
          <w:sz w:val="32"/>
        </w:rPr>
      </w:pPr>
      <w:r>
        <w:rPr>
          <w:sz w:val="32"/>
        </w:rPr>
        <w:tab/>
      </w:r>
      <w:r w:rsidR="00B17730" w:rsidRPr="00B17730">
        <w:rPr>
          <w:sz w:val="32"/>
        </w:rPr>
        <w:t>Accumulated Balance</w:t>
      </w:r>
    </w:p>
    <w:p w14:paraId="28164659" w14:textId="2E6CF520" w:rsidR="00B17730" w:rsidRPr="00B17730" w:rsidRDefault="000E61A7" w:rsidP="000E61A7">
      <w:pPr>
        <w:pStyle w:val="ListParagraph"/>
        <w:numPr>
          <w:ilvl w:val="0"/>
          <w:numId w:val="3"/>
        </w:numPr>
        <w:tabs>
          <w:tab w:val="left" w:pos="1701"/>
        </w:tabs>
        <w:rPr>
          <w:sz w:val="32"/>
        </w:rPr>
      </w:pPr>
      <w:r>
        <w:rPr>
          <w:sz w:val="32"/>
        </w:rPr>
        <w:tab/>
      </w:r>
      <w:r w:rsidR="00B17730" w:rsidRPr="00B17730">
        <w:rPr>
          <w:sz w:val="32"/>
        </w:rPr>
        <w:t>Balance Activity</w:t>
      </w:r>
    </w:p>
    <w:p w14:paraId="4354FD0B" w14:textId="2504AAF6" w:rsidR="00B17730" w:rsidRDefault="000E61A7" w:rsidP="000E61A7">
      <w:pPr>
        <w:pStyle w:val="ListParagraph"/>
        <w:numPr>
          <w:ilvl w:val="0"/>
          <w:numId w:val="3"/>
        </w:numPr>
        <w:tabs>
          <w:tab w:val="left" w:pos="1701"/>
        </w:tabs>
        <w:rPr>
          <w:sz w:val="32"/>
        </w:rPr>
      </w:pPr>
      <w:r>
        <w:rPr>
          <w:sz w:val="32"/>
        </w:rPr>
        <w:tab/>
      </w:r>
      <w:r w:rsidR="00B17730" w:rsidRPr="00B17730">
        <w:rPr>
          <w:sz w:val="32"/>
        </w:rPr>
        <w:t>Balance Reserve</w:t>
      </w:r>
      <w:r w:rsidR="00B17730">
        <w:rPr>
          <w:sz w:val="32"/>
        </w:rPr>
        <w:t>d</w:t>
      </w:r>
    </w:p>
    <w:p w14:paraId="7B9CFC34" w14:textId="1875C914" w:rsidR="001E60CA" w:rsidRPr="00B17730" w:rsidRDefault="00B17730" w:rsidP="000E61A7">
      <w:pPr>
        <w:pStyle w:val="ListParagraph"/>
        <w:numPr>
          <w:ilvl w:val="0"/>
          <w:numId w:val="3"/>
        </w:numPr>
        <w:tabs>
          <w:tab w:val="left" w:pos="1701"/>
        </w:tabs>
        <w:rPr>
          <w:sz w:val="32"/>
        </w:rPr>
      </w:pPr>
      <w:r w:rsidRPr="00B17730">
        <w:rPr>
          <w:sz w:val="32"/>
        </w:rPr>
        <w:t>Balance Unreserved</w:t>
      </w:r>
    </w:p>
    <w:p w14:paraId="573C84A0" w14:textId="3F1F6D25" w:rsidR="000E61A7" w:rsidRDefault="000E61A7">
      <w:pPr>
        <w:rPr>
          <w:sz w:val="32"/>
        </w:rPr>
      </w:pPr>
      <w:r>
        <w:rPr>
          <w:sz w:val="32"/>
        </w:rPr>
        <w:br w:type="page"/>
      </w:r>
    </w:p>
    <w:bookmarkEnd w:id="2"/>
    <w:p w14:paraId="5144834B" w14:textId="309DA8AA" w:rsidR="00282704"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163B27A6" w14:textId="77777777" w:rsidR="004866E9" w:rsidRPr="008C536F" w:rsidRDefault="004866E9" w:rsidP="008C536F">
      <w:pPr>
        <w:ind w:left="709"/>
        <w:rPr>
          <w:sz w:val="32"/>
        </w:rPr>
      </w:pPr>
    </w:p>
    <w:p w14:paraId="44E59012" w14:textId="7C4F5834" w:rsidR="004866E9" w:rsidRPr="008C536F" w:rsidRDefault="00C4060D" w:rsidP="008C536F">
      <w:pPr>
        <w:ind w:left="709"/>
        <w:rPr>
          <w:sz w:val="32"/>
        </w:rPr>
      </w:pPr>
      <w:r>
        <w:rPr>
          <w:b/>
          <w:bCs/>
          <w:noProof/>
          <w:sz w:val="36"/>
        </w:rPr>
        <w:drawing>
          <wp:inline distT="0" distB="0" distL="0" distR="0" wp14:anchorId="0AF7BF0D" wp14:editId="5D690873">
            <wp:extent cx="6310765" cy="34676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4173" cy="3480548"/>
                    </a:xfrm>
                    <a:prstGeom prst="rect">
                      <a:avLst/>
                    </a:prstGeom>
                    <a:noFill/>
                  </pic:spPr>
                </pic:pic>
              </a:graphicData>
            </a:graphic>
          </wp:inline>
        </w:drawing>
      </w:r>
    </w:p>
    <w:p w14:paraId="40C9D5EA" w14:textId="77777777" w:rsidR="004866E9" w:rsidRPr="008C536F" w:rsidRDefault="004866E9" w:rsidP="008C536F">
      <w:pPr>
        <w:ind w:left="709"/>
        <w:rPr>
          <w:sz w:val="32"/>
        </w:rPr>
      </w:pPr>
    </w:p>
    <w:p w14:paraId="0FAC6F9D" w14:textId="7D1D8CE9" w:rsidR="00282704" w:rsidRDefault="00282704" w:rsidP="008C536F">
      <w:pPr>
        <w:ind w:left="709"/>
        <w:rPr>
          <w:sz w:val="32"/>
        </w:rPr>
      </w:pPr>
    </w:p>
    <w:p w14:paraId="71B3D1B5" w14:textId="7120F31C" w:rsidR="000E61A7" w:rsidRDefault="000E61A7" w:rsidP="008C536F">
      <w:pPr>
        <w:ind w:left="709"/>
        <w:rPr>
          <w:sz w:val="32"/>
        </w:rPr>
      </w:pPr>
    </w:p>
    <w:p w14:paraId="181B5B41" w14:textId="77777777" w:rsidR="000E61A7" w:rsidRPr="008C536F" w:rsidRDefault="000E61A7" w:rsidP="008C536F">
      <w:pPr>
        <w:ind w:left="709"/>
        <w:rPr>
          <w:sz w:val="32"/>
        </w:rPr>
      </w:pPr>
    </w:p>
    <w:bookmarkEnd w:id="3"/>
    <w:bookmarkEnd w:id="4"/>
    <w:p w14:paraId="558F267F" w14:textId="3FB40F39" w:rsidR="00627E15" w:rsidRDefault="00627E15" w:rsidP="00627E15">
      <w:pPr>
        <w:pStyle w:val="ListParagraph"/>
        <w:numPr>
          <w:ilvl w:val="0"/>
          <w:numId w:val="1"/>
        </w:numPr>
        <w:ind w:left="709" w:firstLine="0"/>
        <w:rPr>
          <w:b/>
          <w:bCs/>
          <w:sz w:val="36"/>
          <w:lang w:bidi="en-US"/>
        </w:rPr>
      </w:pPr>
      <w:r>
        <w:rPr>
          <w:b/>
          <w:bCs/>
          <w:sz w:val="36"/>
          <w:lang w:bidi="en-US"/>
        </w:rPr>
        <w:t>Test Results</w:t>
      </w:r>
    </w:p>
    <w:p w14:paraId="37C4626D" w14:textId="2485F6C6" w:rsidR="004323D5" w:rsidRDefault="004323D5" w:rsidP="00E2480C">
      <w:pPr>
        <w:ind w:left="709"/>
        <w:jc w:val="center"/>
        <w:rPr>
          <w:sz w:val="32"/>
        </w:rPr>
      </w:pPr>
    </w:p>
    <w:p w14:paraId="4258D070" w14:textId="34E2D54C" w:rsidR="00C4060D" w:rsidRPr="008C536F" w:rsidRDefault="000E61A7" w:rsidP="00E2480C">
      <w:pPr>
        <w:ind w:left="709"/>
        <w:jc w:val="center"/>
        <w:rPr>
          <w:sz w:val="32"/>
        </w:rPr>
      </w:pPr>
      <w:r>
        <w:rPr>
          <w:sz w:val="32"/>
        </w:rPr>
        <w:object w:dxaOrig="1376" w:dyaOrig="893" w14:anchorId="06567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85pt;height:44.5pt" o:ole="">
            <v:imagedata r:id="rId8" o:title=""/>
          </v:shape>
          <o:OLEObject Type="Embed" ProgID="Package" ShapeID="_x0000_i1027" DrawAspect="Icon" ObjectID="_1692343500" r:id="rId9"/>
        </w:object>
      </w:r>
    </w:p>
    <w:sectPr w:rsidR="00C4060D" w:rsidRPr="008C536F" w:rsidSect="000E61A7">
      <w:headerReference w:type="default" r:id="rId10"/>
      <w:footerReference w:type="default" r:id="rId11"/>
      <w:headerReference w:type="first" r:id="rId12"/>
      <w:pgSz w:w="11906" w:h="16838" w:code="9"/>
      <w:pgMar w:top="2410" w:right="1134" w:bottom="1134" w:left="567" w:header="0" w:footer="18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D8B73" w14:textId="77777777" w:rsidR="001C2149" w:rsidRDefault="001C2149" w:rsidP="004323D5">
      <w:r>
        <w:separator/>
      </w:r>
    </w:p>
  </w:endnote>
  <w:endnote w:type="continuationSeparator" w:id="0">
    <w:p w14:paraId="366BDA5A" w14:textId="77777777" w:rsidR="001C2149" w:rsidRDefault="001C2149"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583673BE" w:rsidR="009219E2" w:rsidRPr="000C45B9" w:rsidRDefault="009219E2" w:rsidP="00B01AE1">
    <w:pPr>
      <w:pStyle w:val="Footer"/>
      <w:tabs>
        <w:tab w:val="left" w:pos="993"/>
      </w:tabs>
      <w:ind w:left="-993"/>
      <w:rPr>
        <w:rFonts w:cs="Calibri"/>
        <w:color w:val="262626"/>
      </w:rPr>
    </w:pPr>
    <w:r w:rsidRPr="000C45B9">
      <w:rPr>
        <w:rFonts w:cs="Calibri"/>
        <w:color w:val="262626"/>
      </w:rPr>
      <w:t xml:space="preserve">     </w:t>
    </w:r>
    <w:r w:rsidR="00E2480C">
      <w:rPr>
        <w:rFonts w:cs="Calibri"/>
        <w:color w:val="262626"/>
      </w:rPr>
      <w:tab/>
    </w:r>
    <w:r w:rsidRPr="000C45B9">
      <w:rPr>
        <w:rFonts w:cs="Calibri"/>
        <w:color w:val="262626"/>
      </w:rPr>
      <w:t xml:space="preserve">© TM Forum </w:t>
    </w:r>
    <w:r w:rsidR="00282704">
      <w:rPr>
        <w:rFonts w:cs="Calibri"/>
        <w:color w:val="262626"/>
      </w:rPr>
      <w:t>20</w:t>
    </w:r>
    <w:r w:rsidR="00627E15">
      <w:rPr>
        <w:rFonts w:cs="Calibri"/>
        <w:color w:val="262626"/>
      </w:rPr>
      <w:t>2</w:t>
    </w:r>
    <w:r w:rsidR="00F15F16">
      <w:rPr>
        <w:rFonts w:cs="Calibri"/>
        <w:color w:val="262626"/>
      </w:rPr>
      <w:t>1</w:t>
    </w:r>
    <w:r w:rsidRPr="000C45B9">
      <w:rPr>
        <w:rFonts w:cs="Calibri"/>
        <w:color w:val="262626"/>
      </w:rPr>
      <w:t xml:space="preserve">. All Rights Reserved. </w:t>
    </w:r>
    <w:r w:rsidRPr="000C45B9">
      <w:rPr>
        <w:rFonts w:cs="Calibri"/>
        <w:color w:val="262626"/>
      </w:rPr>
      <w:tab/>
    </w:r>
    <w:r>
      <w:rPr>
        <w:rFonts w:cs="Calibri"/>
        <w:color w:val="262626"/>
      </w:rPr>
      <w:tab/>
    </w:r>
    <w:r w:rsidR="00B01AE1">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C4060D">
      <w:rPr>
        <w:rStyle w:val="PageNumber"/>
        <w:rFonts w:cs="Calibri"/>
        <w:noProof/>
        <w:color w:val="262626"/>
      </w:rPr>
      <w:t>4</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C4060D">
      <w:rPr>
        <w:rStyle w:val="PageNumber"/>
        <w:rFonts w:cs="Calibri"/>
        <w:noProof/>
        <w:color w:val="262626"/>
      </w:rPr>
      <w:t>4</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F6763" w14:textId="77777777" w:rsidR="001C2149" w:rsidRDefault="001C2149" w:rsidP="004323D5">
      <w:r>
        <w:separator/>
      </w:r>
    </w:p>
  </w:footnote>
  <w:footnote w:type="continuationSeparator" w:id="0">
    <w:p w14:paraId="22717979" w14:textId="77777777" w:rsidR="001C2149" w:rsidRDefault="001C2149"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44724439" w:rsidR="00B00710" w:rsidRDefault="00B00710" w:rsidP="00B00710">
    <w:pPr>
      <w:pStyle w:val="Header"/>
      <w:rPr>
        <w:rFonts w:cs="Calibri"/>
      </w:rPr>
    </w:pPr>
    <w:r>
      <w:rPr>
        <w:noProof/>
      </w:rPr>
      <w:drawing>
        <wp:anchor distT="0" distB="0" distL="114300" distR="114300" simplePos="0" relativeHeight="251661312" behindDoc="1" locked="0" layoutInCell="1" allowOverlap="1" wp14:anchorId="5115E2C6" wp14:editId="505E672A">
          <wp:simplePos x="0" y="0"/>
          <wp:positionH relativeFrom="margin">
            <wp:posOffset>-340995</wp:posOffset>
          </wp:positionH>
          <wp:positionV relativeFrom="paragraph">
            <wp:posOffset>9525</wp:posOffset>
          </wp:positionV>
          <wp:extent cx="7524750" cy="67310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0" cy="673100"/>
                  </a:xfrm>
                  <a:prstGeom prst="rect">
                    <a:avLst/>
                  </a:prstGeom>
                  <a:noFill/>
                </pic:spPr>
              </pic:pic>
            </a:graphicData>
          </a:graphic>
          <wp14:sizeRelH relativeFrom="page">
            <wp14:pctWidth>0</wp14:pctWidth>
          </wp14:sizeRelH>
          <wp14:sizeRelV relativeFrom="page">
            <wp14:pctHeight>0</wp14:pctHeight>
          </wp14:sizeRelV>
        </wp:anchor>
      </w:drawing>
    </w:r>
  </w:p>
  <w:p w14:paraId="043E31AB" w14:textId="77777777" w:rsidR="00B00710" w:rsidRDefault="00B00710" w:rsidP="00B00710">
    <w:pPr>
      <w:pStyle w:val="Header"/>
      <w:rPr>
        <w:rFonts w:cs="Calibri"/>
      </w:rPr>
    </w:pP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1D949D3A" w:rsidR="00C96C60" w:rsidRDefault="00C96C60">
    <w:pPr>
      <w:pStyle w:val="Header"/>
    </w:pPr>
    <w:r>
      <w:rPr>
        <w:noProof/>
      </w:rPr>
      <w:drawing>
        <wp:anchor distT="0" distB="0" distL="114300" distR="114300" simplePos="0" relativeHeight="251659264" behindDoc="1" locked="0" layoutInCell="1" allowOverlap="1" wp14:anchorId="533BA209" wp14:editId="67BC82F3">
          <wp:simplePos x="0" y="0"/>
          <wp:positionH relativeFrom="column">
            <wp:posOffset>5238115</wp:posOffset>
          </wp:positionH>
          <wp:positionV relativeFrom="paragraph">
            <wp:posOffset>248920</wp:posOffset>
          </wp:positionV>
          <wp:extent cx="1617558" cy="359037"/>
          <wp:effectExtent l="0" t="0" r="1905"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94A"/>
    <w:multiLevelType w:val="hybridMultilevel"/>
    <w:tmpl w:val="1A6E4A4E"/>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63747F6"/>
    <w:multiLevelType w:val="hybridMultilevel"/>
    <w:tmpl w:val="D8C46D8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5179D"/>
    <w:rsid w:val="000E61A7"/>
    <w:rsid w:val="00134635"/>
    <w:rsid w:val="0014424A"/>
    <w:rsid w:val="0015714B"/>
    <w:rsid w:val="001A18F1"/>
    <w:rsid w:val="001C2149"/>
    <w:rsid w:val="001E60CA"/>
    <w:rsid w:val="00282704"/>
    <w:rsid w:val="002D7080"/>
    <w:rsid w:val="0033645B"/>
    <w:rsid w:val="00382933"/>
    <w:rsid w:val="003C5139"/>
    <w:rsid w:val="004323D5"/>
    <w:rsid w:val="004866E9"/>
    <w:rsid w:val="004F1001"/>
    <w:rsid w:val="00565176"/>
    <w:rsid w:val="00627E15"/>
    <w:rsid w:val="00656B7C"/>
    <w:rsid w:val="00720E69"/>
    <w:rsid w:val="00721988"/>
    <w:rsid w:val="00727C91"/>
    <w:rsid w:val="007412DF"/>
    <w:rsid w:val="0074356D"/>
    <w:rsid w:val="007A277D"/>
    <w:rsid w:val="00801167"/>
    <w:rsid w:val="00834582"/>
    <w:rsid w:val="008C536F"/>
    <w:rsid w:val="008D2DCE"/>
    <w:rsid w:val="0090244B"/>
    <w:rsid w:val="009219E2"/>
    <w:rsid w:val="009B1AB5"/>
    <w:rsid w:val="009E2554"/>
    <w:rsid w:val="00A77BAC"/>
    <w:rsid w:val="00AE0285"/>
    <w:rsid w:val="00B00710"/>
    <w:rsid w:val="00B01AE1"/>
    <w:rsid w:val="00B17730"/>
    <w:rsid w:val="00B74B51"/>
    <w:rsid w:val="00BA3364"/>
    <w:rsid w:val="00BF4936"/>
    <w:rsid w:val="00C4060D"/>
    <w:rsid w:val="00C96C60"/>
    <w:rsid w:val="00CC2BF6"/>
    <w:rsid w:val="00CD18B2"/>
    <w:rsid w:val="00E2480C"/>
    <w:rsid w:val="00EE1557"/>
    <w:rsid w:val="00F15F16"/>
    <w:rsid w:val="00F24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4</cp:revision>
  <dcterms:created xsi:type="dcterms:W3CDTF">2021-02-25T19:06:00Z</dcterms:created>
  <dcterms:modified xsi:type="dcterms:W3CDTF">2021-09-05T08:39:00Z</dcterms:modified>
</cp:coreProperties>
</file>