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511049F2" w:rsidR="00BA3364"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sidR="00A033C7">
            <w:rPr>
              <w:rFonts w:cs="Calibri"/>
              <w:b/>
              <w:i/>
              <w:color w:val="404040"/>
              <w:sz w:val="40"/>
              <w:szCs w:val="40"/>
              <w:lang w:val="en-GB"/>
            </w:rPr>
            <w:t>Tecnotree</w:t>
          </w:r>
        </w:p>
        <w:p w14:paraId="514950AB" w14:textId="77777777" w:rsidR="00F15F16" w:rsidRPr="00BA3364" w:rsidRDefault="00F15F16" w:rsidP="008C536F">
          <w:pPr>
            <w:keepNext/>
            <w:keepLines/>
            <w:spacing w:line="340" w:lineRule="atLeast"/>
            <w:ind w:left="709"/>
            <w:rPr>
              <w:rFonts w:cs="Calibri"/>
              <w:i/>
              <w:color w:val="404040"/>
              <w:sz w:val="40"/>
              <w:szCs w:val="40"/>
              <w:lang w:val="en-GB"/>
            </w:rPr>
          </w:pPr>
        </w:p>
        <w:p w14:paraId="3BD73A50" w14:textId="77777777" w:rsidR="006C5C98"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7128A426" w14:textId="4AE4EDB2" w:rsidR="00BA3364" w:rsidRDefault="00A033C7" w:rsidP="008C536F">
          <w:pPr>
            <w:keepNext/>
            <w:keepLines/>
            <w:spacing w:line="340" w:lineRule="atLeast"/>
            <w:ind w:left="709"/>
            <w:rPr>
              <w:rFonts w:cs="Calibri"/>
              <w:b/>
              <w:i/>
              <w:color w:val="404040"/>
              <w:sz w:val="40"/>
              <w:szCs w:val="40"/>
              <w:lang w:val="en-GB"/>
            </w:rPr>
          </w:pPr>
          <w:r>
            <w:rPr>
              <w:rFonts w:cs="Calibri"/>
              <w:b/>
              <w:i/>
              <w:color w:val="404040"/>
              <w:sz w:val="40"/>
              <w:szCs w:val="40"/>
              <w:lang w:val="en-GB"/>
            </w:rPr>
            <w:t>Payment Management API – TMF 676</w:t>
          </w:r>
        </w:p>
        <w:p w14:paraId="273D0634" w14:textId="77777777" w:rsidR="00E2480C" w:rsidRPr="00BA3364" w:rsidRDefault="00E2480C" w:rsidP="008C536F">
          <w:pPr>
            <w:keepNext/>
            <w:keepLines/>
            <w:spacing w:line="340" w:lineRule="atLeast"/>
            <w:ind w:left="709"/>
            <w:rPr>
              <w:rFonts w:cs="Calibri"/>
              <w:i/>
              <w:color w:val="404040"/>
              <w:sz w:val="40"/>
              <w:szCs w:val="40"/>
              <w:lang w:val="en-GB"/>
            </w:rPr>
          </w:pPr>
        </w:p>
        <w:p w14:paraId="3F2E29AF" w14:textId="529C80B0"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A033C7">
            <w:rPr>
              <w:rFonts w:cs="Calibri"/>
              <w:b/>
              <w:i/>
              <w:color w:val="404040"/>
              <w:sz w:val="40"/>
              <w:szCs w:val="40"/>
              <w:lang w:val="en-GB"/>
            </w:rPr>
            <w:t>20.5</w:t>
          </w:r>
          <w:r w:rsidR="006C5C98">
            <w:rPr>
              <w:rFonts w:cs="Calibri"/>
              <w:b/>
              <w:i/>
              <w:color w:val="404040"/>
              <w:sz w:val="40"/>
              <w:szCs w:val="40"/>
              <w:lang w:val="en-GB"/>
            </w:rPr>
            <w:t xml:space="preserve"> </w:t>
          </w:r>
          <w:r w:rsidR="00A033C7">
            <w:rPr>
              <w:rFonts w:cs="Calibri"/>
              <w:b/>
              <w:i/>
              <w:color w:val="404040"/>
              <w:sz w:val="40"/>
              <w:szCs w:val="40"/>
              <w:lang w:val="en-GB"/>
            </w:rPr>
            <w:t>/4.0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6B8DCB5A" w14:textId="04A890EF" w:rsidR="00E2480C" w:rsidRDefault="00E2480C" w:rsidP="008C536F">
          <w:pPr>
            <w:tabs>
              <w:tab w:val="right" w:pos="9360"/>
            </w:tabs>
            <w:ind w:left="709"/>
            <w:rPr>
              <w:rFonts w:cs="Calibri"/>
              <w:b/>
              <w:color w:val="404040"/>
              <w:sz w:val="36"/>
            </w:rPr>
          </w:pPr>
        </w:p>
        <w:p w14:paraId="51CCC803" w14:textId="77777777" w:rsidR="00F15F16" w:rsidRDefault="00F15F16" w:rsidP="008C536F">
          <w:pPr>
            <w:tabs>
              <w:tab w:val="right" w:pos="9360"/>
            </w:tabs>
            <w:ind w:left="709"/>
            <w:rPr>
              <w:rFonts w:cs="Calibri"/>
              <w:b/>
              <w:color w:val="404040"/>
              <w:sz w:val="36"/>
            </w:rPr>
          </w:pPr>
        </w:p>
        <w:p w14:paraId="74B522FA" w14:textId="77777777" w:rsidR="00E2480C" w:rsidRPr="0091413C" w:rsidRDefault="00E2480C" w:rsidP="008C536F">
          <w:pPr>
            <w:tabs>
              <w:tab w:val="right" w:pos="9360"/>
            </w:tabs>
            <w:ind w:left="709"/>
            <w:rPr>
              <w:rFonts w:cs="Calibri"/>
              <w:b/>
              <w:color w:val="404040"/>
              <w:sz w:val="36"/>
            </w:rPr>
          </w:pPr>
        </w:p>
        <w:p w14:paraId="71523820" w14:textId="77777777" w:rsidR="00B01AE1" w:rsidRPr="0091413C" w:rsidRDefault="00B01AE1"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72B63A29" w14:textId="2EEDE1DB" w:rsidR="006C5C98" w:rsidRDefault="00282704" w:rsidP="00E2480C">
          <w:pPr>
            <w:tabs>
              <w:tab w:val="right" w:pos="9360"/>
            </w:tabs>
            <w:ind w:left="709"/>
            <w:rPr>
              <w:rFonts w:cs="Calibri"/>
              <w:b/>
              <w:color w:val="404040"/>
              <w:sz w:val="36"/>
            </w:rPr>
          </w:pPr>
          <w:r w:rsidRPr="00282704">
            <w:rPr>
              <w:rFonts w:cs="Calibri"/>
              <w:b/>
              <w:color w:val="404040"/>
              <w:sz w:val="36"/>
            </w:rPr>
            <w:t xml:space="preserve">Report Date: </w:t>
          </w:r>
          <w:r w:rsidR="00A033C7">
            <w:rPr>
              <w:rFonts w:cs="Calibri"/>
              <w:b/>
              <w:color w:val="404040"/>
              <w:sz w:val="36"/>
            </w:rPr>
            <w:t>4</w:t>
          </w:r>
          <w:r w:rsidR="00A033C7" w:rsidRPr="00A033C7">
            <w:rPr>
              <w:rFonts w:cs="Calibri"/>
              <w:b/>
              <w:color w:val="404040"/>
              <w:sz w:val="36"/>
              <w:vertAlign w:val="superscript"/>
            </w:rPr>
            <w:t>th</w:t>
          </w:r>
          <w:r w:rsidR="00A033C7">
            <w:rPr>
              <w:rFonts w:cs="Calibri"/>
              <w:b/>
              <w:color w:val="404040"/>
              <w:sz w:val="36"/>
            </w:rPr>
            <w:t xml:space="preserve"> September 2021</w:t>
          </w:r>
        </w:p>
        <w:p w14:paraId="76FE6DF0" w14:textId="77777777" w:rsidR="006C5C98" w:rsidRDefault="006C5C98">
          <w:pPr>
            <w:rPr>
              <w:rFonts w:cs="Calibri"/>
              <w:b/>
              <w:color w:val="404040"/>
              <w:sz w:val="36"/>
            </w:rPr>
          </w:pPr>
          <w:r>
            <w:rPr>
              <w:rFonts w:cs="Calibri"/>
              <w:b/>
              <w:color w:val="404040"/>
              <w:sz w:val="36"/>
            </w:rPr>
            <w:br w:type="page"/>
          </w:r>
        </w:p>
        <w:p w14:paraId="103C2725" w14:textId="11F33923" w:rsidR="00282704" w:rsidRDefault="007E645B" w:rsidP="00A033C7"/>
      </w:sdtContent>
    </w:sdt>
    <w:bookmarkStart w:id="0" w:name="_Ref320697427" w:displacedByCustomXml="prev"/>
    <w:bookmarkStart w:id="1" w:name="_Toc383691178" w:displacedByCustomXml="prev"/>
    <w:p w14:paraId="3A6EE750" w14:textId="7CB7EF7C" w:rsidR="00282704" w:rsidRDefault="00282704" w:rsidP="008C536F">
      <w:pPr>
        <w:pStyle w:val="ListParagraph"/>
        <w:numPr>
          <w:ilvl w:val="0"/>
          <w:numId w:val="1"/>
        </w:numPr>
        <w:ind w:left="709" w:firstLine="0"/>
        <w:rPr>
          <w:b/>
          <w:bCs/>
          <w:sz w:val="36"/>
          <w:lang w:bidi="en-US"/>
        </w:rPr>
      </w:pPr>
      <w:r w:rsidRPr="008C536F">
        <w:rPr>
          <w:b/>
          <w:bCs/>
          <w:sz w:val="36"/>
          <w:lang w:bidi="en-US"/>
        </w:rPr>
        <w:t>What Product or Solution does your API support?</w:t>
      </w:r>
    </w:p>
    <w:p w14:paraId="376B5392" w14:textId="0406360E" w:rsidR="00A033C7" w:rsidRDefault="00A033C7" w:rsidP="00A033C7">
      <w:pPr>
        <w:ind w:left="709"/>
        <w:rPr>
          <w:lang w:bidi="en-US"/>
        </w:rPr>
      </w:pPr>
    </w:p>
    <w:p w14:paraId="07B777B2" w14:textId="77777777" w:rsidR="00A033C7" w:rsidRDefault="00A033C7" w:rsidP="00A033C7">
      <w:pPr>
        <w:ind w:left="993"/>
        <w:jc w:val="both"/>
        <w:rPr>
          <w:sz w:val="32"/>
        </w:rPr>
      </w:pPr>
      <w:r w:rsidRPr="00342529">
        <w:rPr>
          <w:sz w:val="32"/>
        </w:rPr>
        <w:t>There is a broad agreement in the Communication Services Provider (CSP) community that one of the largest contributors to customer retention, and thereby solid revenue, is the customer experience. At the same time, research has identified that this hallmark of greater customer experience can be directly linked to efficiency in Billing. This view is derived from the simple fact that a bill is the most visible communication between a customer and the CSP. Even today a large majority of customer care interactions continue to revolve around issues emanating out of incorrect billing.</w:t>
      </w:r>
    </w:p>
    <w:p w14:paraId="247799B8" w14:textId="77777777" w:rsidR="00A033C7" w:rsidRPr="00342529" w:rsidRDefault="00A033C7" w:rsidP="00A033C7">
      <w:pPr>
        <w:ind w:left="993"/>
        <w:jc w:val="both"/>
        <w:rPr>
          <w:sz w:val="32"/>
        </w:rPr>
      </w:pPr>
    </w:p>
    <w:p w14:paraId="1B50E836" w14:textId="77777777" w:rsidR="00A033C7" w:rsidRDefault="00A033C7" w:rsidP="00A033C7">
      <w:pPr>
        <w:ind w:left="993"/>
        <w:jc w:val="both"/>
        <w:rPr>
          <w:sz w:val="32"/>
        </w:rPr>
      </w:pPr>
      <w:r w:rsidRPr="00342529">
        <w:rPr>
          <w:sz w:val="32"/>
        </w:rPr>
        <w:t>Given the importance of accurate billing, one of the first priorities towards an improved customer experience is to address the pressing needs around seemingly mundane issues like billing operations and revenue assurance, thereby removing the source of customer dissatisfaction which is stemming customer churn to avoid reduction in revenue.</w:t>
      </w:r>
    </w:p>
    <w:p w14:paraId="09E91438" w14:textId="77777777" w:rsidR="00A033C7" w:rsidRPr="00342529" w:rsidRDefault="00A033C7" w:rsidP="00A033C7">
      <w:pPr>
        <w:ind w:left="993"/>
        <w:jc w:val="both"/>
        <w:rPr>
          <w:sz w:val="32"/>
        </w:rPr>
      </w:pPr>
    </w:p>
    <w:p w14:paraId="4DB96F73" w14:textId="77777777" w:rsidR="00A033C7" w:rsidRPr="00342529" w:rsidRDefault="00A033C7" w:rsidP="00A033C7">
      <w:pPr>
        <w:ind w:left="993"/>
        <w:jc w:val="both"/>
        <w:rPr>
          <w:sz w:val="32"/>
        </w:rPr>
      </w:pPr>
      <w:r w:rsidRPr="00342529">
        <w:rPr>
          <w:sz w:val="32"/>
        </w:rPr>
        <w:t>The situation is soon becoming complicated for the CSPs facing a double-sided threat endangering their quest for new revenue. On one hand, they are faced with the visible dangers of being non-competitive due to an inability to quickly monetize new services. This coupled with the more traditional challenges in billing operations effectiveness is casting serious doubts on their ability to create an outstanding customer experience which in extreme cases will compromise their ability to retain customers. The first of these challenges is directly linked to the limitations of many legacy billing solutions, slowing down the introduction of new offerings and hence immediate revenue growth. The second of these challenges is forcing CSPs to have another look at new ways to consolidate and manage their core billing operations in order to keep operational costs down.</w:t>
      </w:r>
    </w:p>
    <w:p w14:paraId="5DF57713" w14:textId="77777777" w:rsidR="00A033C7" w:rsidRDefault="00A033C7" w:rsidP="00A033C7">
      <w:pPr>
        <w:ind w:left="993"/>
        <w:jc w:val="both"/>
        <w:rPr>
          <w:sz w:val="32"/>
        </w:rPr>
      </w:pPr>
      <w:r w:rsidRPr="00342529">
        <w:rPr>
          <w:sz w:val="32"/>
        </w:rPr>
        <w:t xml:space="preserve">A careful analysis around the above demands clearly presents an array of opportunities revolving around the support of multiple services, efficient charging and billing, bill convergence and flexible payment options. By carefully balancing the operational efficiencies with new business model introduction a CSP can quickly tap into new revenue streams while all the while ensuring integrity of the related business processes. Tecnotree </w:t>
      </w:r>
      <w:r w:rsidRPr="004108B4">
        <w:rPr>
          <w:b/>
          <w:bCs/>
          <w:sz w:val="32"/>
        </w:rPr>
        <w:t>Digital Convergent Billing System (DCBS)</w:t>
      </w:r>
      <w:r>
        <w:rPr>
          <w:sz w:val="32"/>
        </w:rPr>
        <w:t xml:space="preserve"> </w:t>
      </w:r>
      <w:r w:rsidRPr="00342529">
        <w:rPr>
          <w:sz w:val="32"/>
        </w:rPr>
        <w:t xml:space="preserve">is a unified revenue management solution that can help to consolidate the various business assets and transform them into reusable components for creating new business models to address the growing consumer appetite for new services.  Designed to address all the revenue management needs of a modern CSP, Tecnotree Digital Convergent Billing </w:t>
      </w:r>
      <w:r>
        <w:rPr>
          <w:sz w:val="32"/>
        </w:rPr>
        <w:t xml:space="preserve">System </w:t>
      </w:r>
      <w:r w:rsidRPr="00342529">
        <w:rPr>
          <w:sz w:val="32"/>
        </w:rPr>
        <w:t xml:space="preserve">provides an all-in-one convergent platform to manage traditional as well as next-gen services, it helps CSPs to maintain a holistic view of all services subscribed and used by the customers in order to create novel ways for service monetization. </w:t>
      </w:r>
    </w:p>
    <w:p w14:paraId="2CE60E1D" w14:textId="77777777" w:rsidR="00A033C7" w:rsidRPr="00342529" w:rsidRDefault="00A033C7" w:rsidP="00A033C7">
      <w:pPr>
        <w:ind w:left="993"/>
        <w:jc w:val="both"/>
        <w:rPr>
          <w:sz w:val="32"/>
        </w:rPr>
      </w:pPr>
    </w:p>
    <w:p w14:paraId="10B82BD4" w14:textId="5C0BB479" w:rsidR="00A033C7" w:rsidRDefault="00A033C7" w:rsidP="00A033C7">
      <w:pPr>
        <w:ind w:left="993"/>
        <w:jc w:val="both"/>
        <w:rPr>
          <w:sz w:val="32"/>
        </w:rPr>
      </w:pPr>
      <w:r w:rsidRPr="00342529">
        <w:rPr>
          <w:sz w:val="32"/>
        </w:rPr>
        <w:t>Tecnotree Digital Convergent Billing</w:t>
      </w:r>
      <w:r>
        <w:rPr>
          <w:sz w:val="32"/>
        </w:rPr>
        <w:t xml:space="preserve"> System (</w:t>
      </w:r>
      <w:r w:rsidRPr="00A033C7">
        <w:rPr>
          <w:b/>
          <w:sz w:val="32"/>
        </w:rPr>
        <w:t>DCBS</w:t>
      </w:r>
      <w:r>
        <w:rPr>
          <w:sz w:val="32"/>
        </w:rPr>
        <w:t>)</w:t>
      </w:r>
      <w:r w:rsidRPr="00342529">
        <w:rPr>
          <w:sz w:val="32"/>
        </w:rPr>
        <w:t xml:space="preserve"> allows CSPs to conveniently manage a mix of multiple services from themselves and partners alike. By providing a real-time charging capability Tecnotree Digital Convergent Billing</w:t>
      </w:r>
      <w:r>
        <w:rPr>
          <w:sz w:val="32"/>
        </w:rPr>
        <w:t xml:space="preserve"> System</w:t>
      </w:r>
      <w:r w:rsidRPr="00342529">
        <w:rPr>
          <w:sz w:val="32"/>
        </w:rPr>
        <w:t xml:space="preserve"> ensures accurate billing every time while supporting a broad range of flexible payment options. By monetizing all customers across business lines and types of service on a single platform the CSPs can rationalize the often-inefficient legacy interfaces previously in place across various network elements, significantly reducing the possibility of revenue leakage and resulting bad debts. All the above put together allows CSPs to concentrate on running a business rather than worrying about maintaining their billing infrastructure. Further customer experience is improved by allowing the choice of a single bill for all services, along with access to accurate real-time information over self-care</w:t>
      </w:r>
      <w:r w:rsidRPr="004A4E74">
        <w:rPr>
          <w:sz w:val="32"/>
        </w:rPr>
        <w:t>.</w:t>
      </w:r>
    </w:p>
    <w:p w14:paraId="7D546C82" w14:textId="6BBD3335" w:rsidR="006C5C98" w:rsidRDefault="006C5C98">
      <w:pPr>
        <w:rPr>
          <w:b/>
          <w:bCs/>
          <w:sz w:val="36"/>
          <w:lang w:bidi="en-US"/>
        </w:rPr>
      </w:pPr>
      <w:r>
        <w:rPr>
          <w:b/>
          <w:bCs/>
          <w:sz w:val="36"/>
          <w:lang w:bidi="en-US"/>
        </w:rPr>
        <w:br w:type="page"/>
      </w: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142E1C2B" w:rsidR="00CC2BF6" w:rsidRDefault="00CC2BF6" w:rsidP="008C536F">
      <w:pPr>
        <w:ind w:left="709"/>
        <w:rPr>
          <w:sz w:val="32"/>
        </w:rPr>
      </w:pPr>
      <w:bookmarkStart w:id="2" w:name="_Hlk48665866"/>
      <w:bookmarkStart w:id="3" w:name="_Toc490661761"/>
      <w:bookmarkStart w:id="4" w:name="_Toc308441422"/>
      <w:bookmarkEnd w:id="1"/>
      <w:bookmarkEnd w:id="0"/>
    </w:p>
    <w:p w14:paraId="6BD7764E" w14:textId="6A545A84" w:rsidR="003754D2" w:rsidRDefault="003754D2" w:rsidP="003754D2">
      <w:pPr>
        <w:ind w:left="709"/>
        <w:rPr>
          <w:sz w:val="32"/>
        </w:rPr>
      </w:pPr>
      <w:r>
        <w:rPr>
          <w:sz w:val="32"/>
        </w:rPr>
        <w:t xml:space="preserve">By definition of TMF 676, </w:t>
      </w:r>
      <w:r w:rsidRPr="003754D2">
        <w:rPr>
          <w:sz w:val="32"/>
        </w:rPr>
        <w:t>The Payments API provides the standardized client interface to Payment Systems for notifying about performed payments or refunds. Examples of Payment API originators (clients) include Web servers, mobile app servers, Contact center dashboards or retail store systems.</w:t>
      </w:r>
    </w:p>
    <w:p w14:paraId="41216480" w14:textId="77777777" w:rsidR="003754D2" w:rsidRDefault="003754D2" w:rsidP="003754D2">
      <w:pPr>
        <w:ind w:left="709"/>
        <w:rPr>
          <w:sz w:val="32"/>
        </w:rPr>
      </w:pPr>
    </w:p>
    <w:p w14:paraId="4C6D9A7E" w14:textId="4A51994B" w:rsidR="003754D2" w:rsidRPr="003754D2" w:rsidRDefault="003754D2" w:rsidP="003754D2">
      <w:pPr>
        <w:ind w:left="709"/>
        <w:rPr>
          <w:sz w:val="32"/>
        </w:rPr>
      </w:pPr>
      <w:r>
        <w:rPr>
          <w:sz w:val="32"/>
        </w:rPr>
        <w:t>In Tecnotree DCBS, t</w:t>
      </w:r>
      <w:r w:rsidRPr="003754D2">
        <w:rPr>
          <w:sz w:val="32"/>
        </w:rPr>
        <w:t>he Collections module is used to track all the financial transactions and to post the transactions to an external accounting system.</w:t>
      </w:r>
    </w:p>
    <w:p w14:paraId="23CCA393" w14:textId="77777777" w:rsidR="003754D2" w:rsidRPr="003754D2" w:rsidRDefault="003754D2" w:rsidP="003754D2">
      <w:pPr>
        <w:ind w:left="709"/>
        <w:rPr>
          <w:sz w:val="32"/>
        </w:rPr>
      </w:pPr>
      <w:r w:rsidRPr="003754D2">
        <w:rPr>
          <w:sz w:val="32"/>
        </w:rPr>
        <w:t>Payments can be collected from the Subscribers against invoice or purchase of items and services and from the Dealers against purchase of items and services.</w:t>
      </w:r>
    </w:p>
    <w:p w14:paraId="47FB50F2" w14:textId="7CAC0309" w:rsidR="003754D2" w:rsidRPr="008C536F" w:rsidRDefault="003754D2" w:rsidP="003754D2">
      <w:pPr>
        <w:ind w:left="709"/>
        <w:rPr>
          <w:sz w:val="32"/>
        </w:rPr>
      </w:pPr>
      <w:r w:rsidRPr="003754D2">
        <w:rPr>
          <w:sz w:val="32"/>
        </w:rPr>
        <w:t>The different payment modes supported are outlined below:</w:t>
      </w:r>
    </w:p>
    <w:p w14:paraId="573C84A0" w14:textId="7F6B352A" w:rsidR="004866E9" w:rsidRDefault="004866E9" w:rsidP="008C536F">
      <w:pPr>
        <w:ind w:left="709"/>
        <w:rPr>
          <w:sz w:val="32"/>
        </w:rPr>
      </w:pPr>
    </w:p>
    <w:p w14:paraId="1DC71317" w14:textId="715E2E66" w:rsidR="003754D2" w:rsidRPr="003754D2" w:rsidRDefault="003754D2" w:rsidP="003754D2">
      <w:pPr>
        <w:pStyle w:val="Caption"/>
        <w:keepNext/>
        <w:rPr>
          <w:rFonts w:ascii="Calibri" w:hAnsi="Calibri" w:cs="Calibri"/>
          <w:sz w:val="28"/>
        </w:rPr>
      </w:pPr>
      <w:r w:rsidRPr="003754D2">
        <w:rPr>
          <w:rFonts w:ascii="Calibri" w:hAnsi="Calibri" w:cs="Calibri"/>
          <w:sz w:val="28"/>
        </w:rPr>
        <w:t xml:space="preserve">Table </w:t>
      </w:r>
      <w:r w:rsidRPr="003754D2">
        <w:rPr>
          <w:rFonts w:ascii="Calibri" w:hAnsi="Calibri" w:cs="Calibri"/>
          <w:sz w:val="28"/>
        </w:rPr>
        <w:fldChar w:fldCharType="begin"/>
      </w:r>
      <w:r w:rsidRPr="003754D2">
        <w:rPr>
          <w:rFonts w:ascii="Calibri" w:hAnsi="Calibri" w:cs="Calibri"/>
          <w:sz w:val="28"/>
        </w:rPr>
        <w:instrText xml:space="preserve"> SEQ Table \* ARABIC </w:instrText>
      </w:r>
      <w:r w:rsidRPr="003754D2">
        <w:rPr>
          <w:rFonts w:ascii="Calibri" w:hAnsi="Calibri" w:cs="Calibri"/>
          <w:sz w:val="28"/>
        </w:rPr>
        <w:fldChar w:fldCharType="separate"/>
      </w:r>
      <w:r w:rsidRPr="003754D2">
        <w:rPr>
          <w:rFonts w:ascii="Calibri" w:hAnsi="Calibri" w:cs="Calibri"/>
          <w:noProof/>
          <w:sz w:val="28"/>
        </w:rPr>
        <w:t>1</w:t>
      </w:r>
      <w:r w:rsidRPr="003754D2">
        <w:rPr>
          <w:rFonts w:ascii="Calibri" w:hAnsi="Calibri" w:cs="Calibri"/>
          <w:sz w:val="28"/>
        </w:rPr>
        <w:fldChar w:fldCharType="end"/>
      </w:r>
      <w:r w:rsidRPr="003754D2">
        <w:rPr>
          <w:rFonts w:ascii="Calibri" w:hAnsi="Calibri" w:cs="Calibri"/>
          <w:sz w:val="28"/>
        </w:rPr>
        <w:t xml:space="preserve">  Supported Payment Modes - Sample</w:t>
      </w:r>
    </w:p>
    <w:tbl>
      <w:tblPr>
        <w:tblStyle w:val="TableGrid"/>
        <w:tblW w:w="9352" w:type="dxa"/>
        <w:tblInd w:w="843" w:type="dxa"/>
        <w:tblLook w:val="04A0" w:firstRow="1" w:lastRow="0" w:firstColumn="1" w:lastColumn="0" w:noHBand="0" w:noVBand="1"/>
      </w:tblPr>
      <w:tblGrid>
        <w:gridCol w:w="1882"/>
        <w:gridCol w:w="1710"/>
        <w:gridCol w:w="1800"/>
        <w:gridCol w:w="3960"/>
      </w:tblGrid>
      <w:tr w:rsidR="003754D2" w:rsidRPr="003754D2" w14:paraId="7D394D52" w14:textId="77777777" w:rsidTr="006C5C98">
        <w:trPr>
          <w:cnfStyle w:val="100000000000" w:firstRow="1" w:lastRow="0" w:firstColumn="0" w:lastColumn="0" w:oddVBand="0" w:evenVBand="0" w:oddHBand="0" w:evenHBand="0" w:firstRowFirstColumn="0" w:firstRowLastColumn="0" w:lastRowFirstColumn="0" w:lastRowLastColumn="0"/>
        </w:trPr>
        <w:tc>
          <w:tcPr>
            <w:tcW w:w="1882" w:type="dxa"/>
          </w:tcPr>
          <w:p w14:paraId="79341362" w14:textId="77777777" w:rsidR="003754D2" w:rsidRPr="003754D2" w:rsidRDefault="003754D2" w:rsidP="00B06F76">
            <w:pPr>
              <w:pStyle w:val="TableHead1C"/>
              <w:rPr>
                <w:rFonts w:cs="Calibri"/>
                <w:sz w:val="28"/>
                <w:szCs w:val="28"/>
              </w:rPr>
            </w:pPr>
            <w:r w:rsidRPr="003754D2">
              <w:rPr>
                <w:rFonts w:eastAsia="MS PGothic" w:cs="Calibri"/>
                <w:sz w:val="28"/>
                <w:szCs w:val="28"/>
              </w:rPr>
              <w:t xml:space="preserve">Payment Mode </w:t>
            </w:r>
          </w:p>
        </w:tc>
        <w:tc>
          <w:tcPr>
            <w:tcW w:w="1710" w:type="dxa"/>
          </w:tcPr>
          <w:p w14:paraId="5DD89DBC" w14:textId="77777777" w:rsidR="003754D2" w:rsidRPr="003754D2" w:rsidRDefault="003754D2" w:rsidP="00B06F76">
            <w:pPr>
              <w:pStyle w:val="TableHead1C"/>
              <w:rPr>
                <w:rFonts w:cs="Calibri"/>
                <w:sz w:val="28"/>
                <w:szCs w:val="28"/>
              </w:rPr>
            </w:pPr>
            <w:r w:rsidRPr="003754D2">
              <w:rPr>
                <w:rFonts w:eastAsia="MS PGothic" w:cs="Calibri"/>
                <w:sz w:val="28"/>
                <w:szCs w:val="28"/>
              </w:rPr>
              <w:t>Accepted from Subscriber</w:t>
            </w:r>
          </w:p>
        </w:tc>
        <w:tc>
          <w:tcPr>
            <w:tcW w:w="1800" w:type="dxa"/>
          </w:tcPr>
          <w:p w14:paraId="5A281295" w14:textId="77777777" w:rsidR="003754D2" w:rsidRPr="003754D2" w:rsidRDefault="003754D2" w:rsidP="00B06F76">
            <w:pPr>
              <w:pStyle w:val="TableHead1C"/>
              <w:rPr>
                <w:rFonts w:cs="Calibri"/>
                <w:sz w:val="28"/>
                <w:szCs w:val="28"/>
              </w:rPr>
            </w:pPr>
            <w:r w:rsidRPr="003754D2">
              <w:rPr>
                <w:rFonts w:eastAsia="MS PGothic" w:cs="Calibri"/>
                <w:sz w:val="28"/>
                <w:szCs w:val="28"/>
              </w:rPr>
              <w:t>Accepted from Dealer</w:t>
            </w:r>
          </w:p>
        </w:tc>
        <w:tc>
          <w:tcPr>
            <w:tcW w:w="3960" w:type="dxa"/>
          </w:tcPr>
          <w:p w14:paraId="4E5DBD70" w14:textId="77777777" w:rsidR="003754D2" w:rsidRPr="003754D2" w:rsidRDefault="003754D2" w:rsidP="00B06F76">
            <w:pPr>
              <w:pStyle w:val="TableHead1C"/>
              <w:rPr>
                <w:rFonts w:cs="Calibri"/>
                <w:sz w:val="28"/>
                <w:szCs w:val="28"/>
              </w:rPr>
            </w:pPr>
            <w:r w:rsidRPr="003754D2">
              <w:rPr>
                <w:rFonts w:eastAsia="MS PGothic" w:cs="Calibri"/>
                <w:sz w:val="28"/>
                <w:szCs w:val="28"/>
              </w:rPr>
              <w:t xml:space="preserve">Additional Information </w:t>
            </w:r>
          </w:p>
        </w:tc>
      </w:tr>
      <w:tr w:rsidR="003754D2" w:rsidRPr="003754D2" w14:paraId="4BCEEB38" w14:textId="77777777" w:rsidTr="006C5C98">
        <w:tc>
          <w:tcPr>
            <w:tcW w:w="1882" w:type="dxa"/>
          </w:tcPr>
          <w:p w14:paraId="1A58489D"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Cash</w:t>
            </w:r>
          </w:p>
        </w:tc>
        <w:tc>
          <w:tcPr>
            <w:tcW w:w="1710" w:type="dxa"/>
          </w:tcPr>
          <w:p w14:paraId="47E67265"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Yes</w:t>
            </w:r>
          </w:p>
        </w:tc>
        <w:tc>
          <w:tcPr>
            <w:tcW w:w="1800" w:type="dxa"/>
          </w:tcPr>
          <w:p w14:paraId="6EBF71D8"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Yes</w:t>
            </w:r>
          </w:p>
        </w:tc>
        <w:tc>
          <w:tcPr>
            <w:tcW w:w="3960" w:type="dxa"/>
          </w:tcPr>
          <w:p w14:paraId="417F4D8D" w14:textId="77777777" w:rsidR="003754D2" w:rsidRPr="003754D2" w:rsidRDefault="003754D2" w:rsidP="00B06F76">
            <w:pPr>
              <w:pStyle w:val="Tabletext1C"/>
              <w:rPr>
                <w:rFonts w:eastAsia="MS PGothic" w:cs="Calibri"/>
                <w:sz w:val="28"/>
                <w:szCs w:val="28"/>
              </w:rPr>
            </w:pPr>
          </w:p>
        </w:tc>
      </w:tr>
      <w:tr w:rsidR="003754D2" w:rsidRPr="003754D2" w14:paraId="1AECD0DC" w14:textId="77777777" w:rsidTr="006C5C98">
        <w:tc>
          <w:tcPr>
            <w:tcW w:w="1882" w:type="dxa"/>
          </w:tcPr>
          <w:p w14:paraId="5C22AABE"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Cheque</w:t>
            </w:r>
          </w:p>
        </w:tc>
        <w:tc>
          <w:tcPr>
            <w:tcW w:w="1710" w:type="dxa"/>
          </w:tcPr>
          <w:p w14:paraId="38FD2E57"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Yes</w:t>
            </w:r>
          </w:p>
        </w:tc>
        <w:tc>
          <w:tcPr>
            <w:tcW w:w="1800" w:type="dxa"/>
          </w:tcPr>
          <w:p w14:paraId="63E787FC"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Yes</w:t>
            </w:r>
          </w:p>
        </w:tc>
        <w:tc>
          <w:tcPr>
            <w:tcW w:w="3960" w:type="dxa"/>
          </w:tcPr>
          <w:p w14:paraId="4458BA38" w14:textId="77777777" w:rsidR="003754D2" w:rsidRPr="003754D2" w:rsidRDefault="003754D2" w:rsidP="00B06F76">
            <w:pPr>
              <w:pStyle w:val="Tabletext1C"/>
              <w:rPr>
                <w:rFonts w:eastAsia="MS PGothic" w:cs="Calibri"/>
                <w:sz w:val="28"/>
                <w:szCs w:val="28"/>
              </w:rPr>
            </w:pPr>
          </w:p>
        </w:tc>
      </w:tr>
      <w:tr w:rsidR="003754D2" w:rsidRPr="003754D2" w14:paraId="2E086E8C" w14:textId="77777777" w:rsidTr="006C5C98">
        <w:tc>
          <w:tcPr>
            <w:tcW w:w="1882" w:type="dxa"/>
          </w:tcPr>
          <w:p w14:paraId="0A154B96"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Debit Card</w:t>
            </w:r>
          </w:p>
        </w:tc>
        <w:tc>
          <w:tcPr>
            <w:tcW w:w="1710" w:type="dxa"/>
          </w:tcPr>
          <w:p w14:paraId="6E016DCA"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Yes</w:t>
            </w:r>
          </w:p>
        </w:tc>
        <w:tc>
          <w:tcPr>
            <w:tcW w:w="1800" w:type="dxa"/>
          </w:tcPr>
          <w:p w14:paraId="47DDD658"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Yes</w:t>
            </w:r>
          </w:p>
        </w:tc>
        <w:tc>
          <w:tcPr>
            <w:tcW w:w="3960" w:type="dxa"/>
          </w:tcPr>
          <w:p w14:paraId="2474C078" w14:textId="77777777" w:rsidR="003754D2" w:rsidRPr="003754D2" w:rsidRDefault="003754D2" w:rsidP="00B06F76">
            <w:pPr>
              <w:pStyle w:val="Tabletext1C"/>
              <w:rPr>
                <w:rFonts w:eastAsia="MS PGothic" w:cs="Calibri"/>
                <w:sz w:val="28"/>
                <w:szCs w:val="28"/>
              </w:rPr>
            </w:pPr>
          </w:p>
        </w:tc>
      </w:tr>
      <w:tr w:rsidR="003754D2" w:rsidRPr="003754D2" w14:paraId="422C2C53" w14:textId="77777777" w:rsidTr="006C5C98">
        <w:tc>
          <w:tcPr>
            <w:tcW w:w="1882" w:type="dxa"/>
          </w:tcPr>
          <w:p w14:paraId="1485B81F"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Credit Card</w:t>
            </w:r>
          </w:p>
        </w:tc>
        <w:tc>
          <w:tcPr>
            <w:tcW w:w="1710" w:type="dxa"/>
          </w:tcPr>
          <w:p w14:paraId="68F526C5"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Yes</w:t>
            </w:r>
          </w:p>
        </w:tc>
        <w:tc>
          <w:tcPr>
            <w:tcW w:w="1800" w:type="dxa"/>
          </w:tcPr>
          <w:p w14:paraId="1FDD4589"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Yes</w:t>
            </w:r>
          </w:p>
        </w:tc>
        <w:tc>
          <w:tcPr>
            <w:tcW w:w="3960" w:type="dxa"/>
          </w:tcPr>
          <w:p w14:paraId="06C156D0" w14:textId="77777777" w:rsidR="003754D2" w:rsidRPr="003754D2" w:rsidRDefault="003754D2" w:rsidP="00B06F76">
            <w:pPr>
              <w:pStyle w:val="Tabletext1C"/>
              <w:rPr>
                <w:rFonts w:eastAsia="MS PGothic" w:cs="Calibri"/>
                <w:sz w:val="28"/>
                <w:szCs w:val="28"/>
              </w:rPr>
            </w:pPr>
          </w:p>
        </w:tc>
      </w:tr>
      <w:tr w:rsidR="003754D2" w:rsidRPr="003754D2" w14:paraId="7DCF802C" w14:textId="77777777" w:rsidTr="006C5C98">
        <w:tc>
          <w:tcPr>
            <w:tcW w:w="1882" w:type="dxa"/>
          </w:tcPr>
          <w:p w14:paraId="33AD3FEC"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Payment at Bank in cash</w:t>
            </w:r>
          </w:p>
        </w:tc>
        <w:tc>
          <w:tcPr>
            <w:tcW w:w="1710" w:type="dxa"/>
          </w:tcPr>
          <w:p w14:paraId="187A1D6C" w14:textId="77777777" w:rsidR="003754D2" w:rsidRPr="003754D2" w:rsidRDefault="003754D2" w:rsidP="00B06F76">
            <w:pPr>
              <w:pStyle w:val="Tabletext1C"/>
              <w:rPr>
                <w:rFonts w:eastAsia="MS PGothic" w:cs="Calibri"/>
                <w:sz w:val="28"/>
                <w:szCs w:val="28"/>
              </w:rPr>
            </w:pPr>
          </w:p>
        </w:tc>
        <w:tc>
          <w:tcPr>
            <w:tcW w:w="1800" w:type="dxa"/>
          </w:tcPr>
          <w:p w14:paraId="1FC78629"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Yes</w:t>
            </w:r>
          </w:p>
        </w:tc>
        <w:tc>
          <w:tcPr>
            <w:tcW w:w="3960" w:type="dxa"/>
          </w:tcPr>
          <w:p w14:paraId="4472A923"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Dealer pays cash at the CSP’s bank account, obtains a receipt from the bank, and presents it to the CSP as proof of payment.</w:t>
            </w:r>
          </w:p>
        </w:tc>
      </w:tr>
      <w:tr w:rsidR="003754D2" w:rsidRPr="003754D2" w14:paraId="0472EF79" w14:textId="77777777" w:rsidTr="006C5C98">
        <w:tc>
          <w:tcPr>
            <w:tcW w:w="1882" w:type="dxa"/>
          </w:tcPr>
          <w:p w14:paraId="1C751DBC"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Payment in Bank by cheque</w:t>
            </w:r>
          </w:p>
        </w:tc>
        <w:tc>
          <w:tcPr>
            <w:tcW w:w="1710" w:type="dxa"/>
          </w:tcPr>
          <w:p w14:paraId="5402719D" w14:textId="77777777" w:rsidR="003754D2" w:rsidRPr="003754D2" w:rsidRDefault="003754D2" w:rsidP="00B06F76">
            <w:pPr>
              <w:pStyle w:val="Tabletext1C"/>
              <w:rPr>
                <w:rFonts w:eastAsia="MS PGothic" w:cs="Calibri"/>
                <w:sz w:val="28"/>
                <w:szCs w:val="28"/>
              </w:rPr>
            </w:pPr>
          </w:p>
        </w:tc>
        <w:tc>
          <w:tcPr>
            <w:tcW w:w="1800" w:type="dxa"/>
          </w:tcPr>
          <w:p w14:paraId="7CCD7656"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Yes</w:t>
            </w:r>
          </w:p>
        </w:tc>
        <w:tc>
          <w:tcPr>
            <w:tcW w:w="3960" w:type="dxa"/>
          </w:tcPr>
          <w:p w14:paraId="7141CD6E"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Dealer pays by cheque at the CSP’s bank account, obtains a receipt from the bank, and presents it to the CSP as proof of payment.</w:t>
            </w:r>
          </w:p>
        </w:tc>
      </w:tr>
      <w:tr w:rsidR="003754D2" w:rsidRPr="003754D2" w14:paraId="3CA4BF5E" w14:textId="77777777" w:rsidTr="006C5C98">
        <w:tc>
          <w:tcPr>
            <w:tcW w:w="1882" w:type="dxa"/>
          </w:tcPr>
          <w:p w14:paraId="4859A7D5"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Direct debit</w:t>
            </w:r>
          </w:p>
        </w:tc>
        <w:tc>
          <w:tcPr>
            <w:tcW w:w="1710" w:type="dxa"/>
          </w:tcPr>
          <w:p w14:paraId="32887D08"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Yes</w:t>
            </w:r>
          </w:p>
        </w:tc>
        <w:tc>
          <w:tcPr>
            <w:tcW w:w="1800" w:type="dxa"/>
          </w:tcPr>
          <w:p w14:paraId="39316FE7" w14:textId="77777777" w:rsidR="003754D2" w:rsidRPr="003754D2" w:rsidRDefault="003754D2" w:rsidP="00B06F76">
            <w:pPr>
              <w:pStyle w:val="Tabletext1C"/>
              <w:rPr>
                <w:rFonts w:eastAsia="MS PGothic" w:cs="Calibri"/>
                <w:sz w:val="28"/>
                <w:szCs w:val="28"/>
              </w:rPr>
            </w:pPr>
          </w:p>
        </w:tc>
        <w:tc>
          <w:tcPr>
            <w:tcW w:w="3960" w:type="dxa"/>
          </w:tcPr>
          <w:p w14:paraId="389EBC26"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Subscribers can give standing instruction to bank to settle monthly bills. Based on the subscriber billed amount, bank sends upload file to be updated to subscriber accounts.</w:t>
            </w:r>
          </w:p>
        </w:tc>
      </w:tr>
      <w:tr w:rsidR="003754D2" w:rsidRPr="003754D2" w14:paraId="660E1712" w14:textId="77777777" w:rsidTr="006C5C98">
        <w:tc>
          <w:tcPr>
            <w:tcW w:w="1882" w:type="dxa"/>
          </w:tcPr>
          <w:p w14:paraId="174E5085"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Internal Loyalty Voucher</w:t>
            </w:r>
          </w:p>
        </w:tc>
        <w:tc>
          <w:tcPr>
            <w:tcW w:w="1710" w:type="dxa"/>
          </w:tcPr>
          <w:p w14:paraId="3273A9DA"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Yes</w:t>
            </w:r>
          </w:p>
        </w:tc>
        <w:tc>
          <w:tcPr>
            <w:tcW w:w="1800" w:type="dxa"/>
          </w:tcPr>
          <w:p w14:paraId="1A47D821"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Yes</w:t>
            </w:r>
          </w:p>
        </w:tc>
        <w:tc>
          <w:tcPr>
            <w:tcW w:w="3960" w:type="dxa"/>
          </w:tcPr>
          <w:p w14:paraId="513B2BD9"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Subscribers can make a payment against the invoices using the internal (issued by the CSP) loyalty voucher.</w:t>
            </w:r>
          </w:p>
        </w:tc>
      </w:tr>
      <w:tr w:rsidR="003754D2" w:rsidRPr="003754D2" w14:paraId="46696C4B" w14:textId="77777777" w:rsidTr="006C5C98">
        <w:tc>
          <w:tcPr>
            <w:tcW w:w="1882" w:type="dxa"/>
          </w:tcPr>
          <w:p w14:paraId="4597F551"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 xml:space="preserve">External (Third </w:t>
            </w:r>
          </w:p>
          <w:p w14:paraId="71AAEDDA"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party voucher)</w:t>
            </w:r>
          </w:p>
        </w:tc>
        <w:tc>
          <w:tcPr>
            <w:tcW w:w="1710" w:type="dxa"/>
          </w:tcPr>
          <w:p w14:paraId="4573C4B3"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Yes</w:t>
            </w:r>
          </w:p>
        </w:tc>
        <w:tc>
          <w:tcPr>
            <w:tcW w:w="1800" w:type="dxa"/>
          </w:tcPr>
          <w:p w14:paraId="054DCE4A"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Yes</w:t>
            </w:r>
          </w:p>
        </w:tc>
        <w:tc>
          <w:tcPr>
            <w:tcW w:w="3960" w:type="dxa"/>
          </w:tcPr>
          <w:p w14:paraId="14EF9665"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Subscribers can make a payment against the invoices using an external (third-party) loyalty voucher.</w:t>
            </w:r>
          </w:p>
        </w:tc>
      </w:tr>
      <w:tr w:rsidR="003754D2" w:rsidRPr="003754D2" w14:paraId="17889CB1" w14:textId="77777777" w:rsidTr="006C5C98">
        <w:tc>
          <w:tcPr>
            <w:tcW w:w="1882" w:type="dxa"/>
          </w:tcPr>
          <w:p w14:paraId="556C5DA6"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ATM</w:t>
            </w:r>
          </w:p>
        </w:tc>
        <w:tc>
          <w:tcPr>
            <w:tcW w:w="1710" w:type="dxa"/>
          </w:tcPr>
          <w:p w14:paraId="3951926E"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Yes</w:t>
            </w:r>
          </w:p>
        </w:tc>
        <w:tc>
          <w:tcPr>
            <w:tcW w:w="1800" w:type="dxa"/>
          </w:tcPr>
          <w:p w14:paraId="096B59BC"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Yes</w:t>
            </w:r>
          </w:p>
        </w:tc>
        <w:tc>
          <w:tcPr>
            <w:tcW w:w="3960" w:type="dxa"/>
          </w:tcPr>
          <w:p w14:paraId="765E379E" w14:textId="77777777" w:rsidR="003754D2" w:rsidRPr="003754D2" w:rsidRDefault="003754D2" w:rsidP="00B06F76">
            <w:pPr>
              <w:pStyle w:val="Tabletext1C"/>
              <w:rPr>
                <w:rFonts w:eastAsia="MS PGothic" w:cs="Calibri"/>
                <w:sz w:val="28"/>
                <w:szCs w:val="28"/>
              </w:rPr>
            </w:pPr>
            <w:r w:rsidRPr="003754D2">
              <w:rPr>
                <w:rFonts w:eastAsia="MS PGothic" w:cs="Calibri"/>
                <w:sz w:val="28"/>
                <w:szCs w:val="28"/>
              </w:rPr>
              <w:t>Subscriber can make payment against invoices using ATM.</w:t>
            </w:r>
          </w:p>
        </w:tc>
      </w:tr>
    </w:tbl>
    <w:p w14:paraId="4EE3856B" w14:textId="77777777" w:rsidR="003754D2" w:rsidRPr="008C536F" w:rsidRDefault="003754D2" w:rsidP="008C536F">
      <w:pPr>
        <w:ind w:left="709"/>
        <w:rPr>
          <w:sz w:val="32"/>
        </w:rPr>
      </w:pPr>
    </w:p>
    <w:p w14:paraId="69CC46AF" w14:textId="77777777" w:rsidR="00CA30D0" w:rsidRPr="00CA30D0" w:rsidRDefault="00CA30D0" w:rsidP="00CA30D0">
      <w:pPr>
        <w:ind w:left="709"/>
        <w:rPr>
          <w:sz w:val="32"/>
        </w:rPr>
      </w:pPr>
      <w:r w:rsidRPr="00CA30D0">
        <w:rPr>
          <w:sz w:val="32"/>
        </w:rPr>
        <w:t>As illustrated in the diagram below CSP user can effectively manage payment collections, cheque management, payment transfers and refunds and generation of feed to GL systems.</w:t>
      </w:r>
    </w:p>
    <w:p w14:paraId="5CC08B74" w14:textId="77777777" w:rsidR="00CA30D0" w:rsidRDefault="00CA30D0" w:rsidP="00CA30D0">
      <w:pPr>
        <w:pStyle w:val="PictureCenter"/>
        <w:keepNext/>
      </w:pPr>
      <w:r>
        <w:rPr>
          <w:noProof/>
          <w:lang w:val="en-US"/>
        </w:rPr>
        <w:drawing>
          <wp:inline distT="0" distB="0" distL="0" distR="0" wp14:anchorId="2176D874" wp14:editId="675A8DD7">
            <wp:extent cx="5231218" cy="3359569"/>
            <wp:effectExtent l="0" t="0" r="7620" b="0"/>
            <wp:docPr id="31933176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7">
                      <a:extLst>
                        <a:ext uri="{28A0092B-C50C-407E-A947-70E740481C1C}">
                          <a14:useLocalDpi xmlns:a14="http://schemas.microsoft.com/office/drawing/2010/main" val="0"/>
                        </a:ext>
                      </a:extLst>
                    </a:blip>
                    <a:stretch>
                      <a:fillRect/>
                    </a:stretch>
                  </pic:blipFill>
                  <pic:spPr>
                    <a:xfrm>
                      <a:off x="0" y="0"/>
                      <a:ext cx="5231218" cy="3359569"/>
                    </a:xfrm>
                    <a:prstGeom prst="rect">
                      <a:avLst/>
                    </a:prstGeom>
                  </pic:spPr>
                </pic:pic>
              </a:graphicData>
            </a:graphic>
          </wp:inline>
        </w:drawing>
      </w:r>
    </w:p>
    <w:p w14:paraId="61B2BFD9" w14:textId="120D50AF" w:rsidR="00CA30D0" w:rsidRPr="00CA30D0" w:rsidRDefault="00CA30D0" w:rsidP="00CA30D0">
      <w:pPr>
        <w:pStyle w:val="Caption"/>
        <w:rPr>
          <w:rFonts w:ascii="Calibri" w:hAnsi="Calibri" w:cs="Calibri"/>
          <w:sz w:val="28"/>
        </w:rPr>
      </w:pPr>
      <w:r w:rsidRPr="00CA30D0">
        <w:rPr>
          <w:rFonts w:ascii="Calibri" w:hAnsi="Calibri" w:cs="Calibri"/>
          <w:sz w:val="28"/>
        </w:rPr>
        <w:t xml:space="preserve">Figure </w:t>
      </w:r>
      <w:r w:rsidRPr="00CA30D0">
        <w:rPr>
          <w:rFonts w:ascii="Calibri" w:hAnsi="Calibri" w:cs="Calibri"/>
          <w:sz w:val="28"/>
        </w:rPr>
        <w:fldChar w:fldCharType="begin"/>
      </w:r>
      <w:r w:rsidRPr="00CA30D0">
        <w:rPr>
          <w:rFonts w:ascii="Calibri" w:hAnsi="Calibri" w:cs="Calibri"/>
          <w:sz w:val="28"/>
        </w:rPr>
        <w:instrText xml:space="preserve"> SEQ Figure \* ARABIC </w:instrText>
      </w:r>
      <w:r w:rsidRPr="00CA30D0">
        <w:rPr>
          <w:rFonts w:ascii="Calibri" w:hAnsi="Calibri" w:cs="Calibri"/>
          <w:sz w:val="28"/>
        </w:rPr>
        <w:fldChar w:fldCharType="separate"/>
      </w:r>
      <w:r>
        <w:rPr>
          <w:rFonts w:ascii="Calibri" w:hAnsi="Calibri" w:cs="Calibri"/>
          <w:noProof/>
          <w:sz w:val="28"/>
        </w:rPr>
        <w:t>1</w:t>
      </w:r>
      <w:r w:rsidRPr="00CA30D0">
        <w:rPr>
          <w:rFonts w:ascii="Calibri" w:hAnsi="Calibri" w:cs="Calibri"/>
          <w:sz w:val="28"/>
        </w:rPr>
        <w:fldChar w:fldCharType="end"/>
      </w:r>
      <w:r w:rsidRPr="00CA30D0">
        <w:rPr>
          <w:rFonts w:ascii="Calibri" w:hAnsi="Calibri" w:cs="Calibri"/>
          <w:sz w:val="28"/>
        </w:rPr>
        <w:t xml:space="preserve">  Financial Management Overview</w:t>
      </w:r>
    </w:p>
    <w:p w14:paraId="4E20896A" w14:textId="5888725B" w:rsidR="006C5C98" w:rsidRDefault="006C5C98">
      <w:pPr>
        <w:rPr>
          <w:sz w:val="32"/>
        </w:rPr>
      </w:pPr>
      <w:r>
        <w:rPr>
          <w:sz w:val="32"/>
        </w:rPr>
        <w:br w:type="page"/>
      </w:r>
    </w:p>
    <w:bookmarkEnd w:id="2"/>
    <w:p w14:paraId="5144834B" w14:textId="309DA8AA" w:rsidR="00282704"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163B27A6" w14:textId="77777777" w:rsidR="004866E9" w:rsidRPr="008C536F" w:rsidRDefault="004866E9" w:rsidP="008C536F">
      <w:pPr>
        <w:ind w:left="709"/>
        <w:rPr>
          <w:sz w:val="32"/>
        </w:rPr>
      </w:pPr>
    </w:p>
    <w:p w14:paraId="44E59012" w14:textId="5907B921" w:rsidR="004866E9" w:rsidRPr="008C536F" w:rsidRDefault="00CA30D0" w:rsidP="008C536F">
      <w:pPr>
        <w:ind w:left="709"/>
        <w:rPr>
          <w:sz w:val="32"/>
        </w:rPr>
      </w:pPr>
      <w:r>
        <w:rPr>
          <w:noProof/>
          <w:sz w:val="32"/>
        </w:rPr>
        <w:drawing>
          <wp:inline distT="0" distB="0" distL="0" distR="0" wp14:anchorId="18561FA0" wp14:editId="3B080189">
            <wp:extent cx="6067425" cy="2645653"/>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4801" cy="2657590"/>
                    </a:xfrm>
                    <a:prstGeom prst="rect">
                      <a:avLst/>
                    </a:prstGeom>
                    <a:noFill/>
                  </pic:spPr>
                </pic:pic>
              </a:graphicData>
            </a:graphic>
          </wp:inline>
        </w:drawing>
      </w:r>
    </w:p>
    <w:p w14:paraId="06960E52" w14:textId="2D308699" w:rsidR="00CA30D0" w:rsidRDefault="00CA30D0" w:rsidP="00CA30D0">
      <w:pPr>
        <w:pStyle w:val="Caption"/>
        <w:rPr>
          <w:rFonts w:ascii="Calibri" w:hAnsi="Calibri" w:cs="Calibri"/>
          <w:sz w:val="28"/>
        </w:rPr>
      </w:pPr>
      <w:r w:rsidRPr="00CA30D0">
        <w:rPr>
          <w:rFonts w:ascii="Calibri" w:hAnsi="Calibri" w:cs="Calibri"/>
          <w:sz w:val="28"/>
        </w:rPr>
        <w:t xml:space="preserve">Figure </w:t>
      </w:r>
      <w:r w:rsidRPr="00CA30D0">
        <w:rPr>
          <w:rFonts w:ascii="Calibri" w:hAnsi="Calibri" w:cs="Calibri"/>
          <w:sz w:val="28"/>
        </w:rPr>
        <w:fldChar w:fldCharType="begin"/>
      </w:r>
      <w:r w:rsidRPr="00CA30D0">
        <w:rPr>
          <w:rFonts w:ascii="Calibri" w:hAnsi="Calibri" w:cs="Calibri"/>
          <w:sz w:val="28"/>
        </w:rPr>
        <w:instrText xml:space="preserve"> SEQ Figure \* ARABIC </w:instrText>
      </w:r>
      <w:r w:rsidRPr="00CA30D0">
        <w:rPr>
          <w:rFonts w:ascii="Calibri" w:hAnsi="Calibri" w:cs="Calibri"/>
          <w:sz w:val="28"/>
        </w:rPr>
        <w:fldChar w:fldCharType="separate"/>
      </w:r>
      <w:r>
        <w:rPr>
          <w:rFonts w:ascii="Calibri" w:hAnsi="Calibri" w:cs="Calibri"/>
          <w:noProof/>
          <w:sz w:val="28"/>
        </w:rPr>
        <w:t>2</w:t>
      </w:r>
      <w:r w:rsidRPr="00CA30D0">
        <w:rPr>
          <w:rFonts w:ascii="Calibri" w:hAnsi="Calibri" w:cs="Calibri"/>
          <w:sz w:val="28"/>
        </w:rPr>
        <w:fldChar w:fldCharType="end"/>
      </w:r>
      <w:r w:rsidRPr="00CA30D0">
        <w:rPr>
          <w:rFonts w:ascii="Calibri" w:hAnsi="Calibri" w:cs="Calibri"/>
          <w:sz w:val="28"/>
        </w:rPr>
        <w:t xml:space="preserve">  </w:t>
      </w:r>
      <w:r>
        <w:rPr>
          <w:rFonts w:ascii="Calibri" w:hAnsi="Calibri" w:cs="Calibri"/>
          <w:sz w:val="28"/>
        </w:rPr>
        <w:t>DCBS Architecture View</w:t>
      </w:r>
    </w:p>
    <w:p w14:paraId="39A85BA5" w14:textId="0AD0AE66" w:rsidR="006C5C98" w:rsidRDefault="006C5C98" w:rsidP="006C5C98">
      <w:pPr>
        <w:rPr>
          <w:lang w:val="en-GB"/>
        </w:rPr>
      </w:pPr>
    </w:p>
    <w:p w14:paraId="02BF3049" w14:textId="668A292D" w:rsidR="006C5C98" w:rsidRDefault="006C5C98" w:rsidP="006C5C98">
      <w:pPr>
        <w:rPr>
          <w:lang w:val="en-GB"/>
        </w:rPr>
      </w:pPr>
    </w:p>
    <w:p w14:paraId="5D5A82F4" w14:textId="77777777" w:rsidR="006C5C98" w:rsidRPr="006C5C98" w:rsidRDefault="006C5C98" w:rsidP="006C5C98">
      <w:pPr>
        <w:rPr>
          <w:lang w:val="en-GB"/>
        </w:rPr>
      </w:pPr>
    </w:p>
    <w:bookmarkEnd w:id="3"/>
    <w:bookmarkEnd w:id="4"/>
    <w:p w14:paraId="558F267F" w14:textId="18B11911" w:rsidR="00627E15" w:rsidRDefault="00627E15" w:rsidP="00627E15">
      <w:pPr>
        <w:pStyle w:val="ListParagraph"/>
        <w:numPr>
          <w:ilvl w:val="0"/>
          <w:numId w:val="1"/>
        </w:numPr>
        <w:ind w:left="709" w:firstLine="0"/>
        <w:rPr>
          <w:b/>
          <w:bCs/>
          <w:sz w:val="36"/>
          <w:lang w:bidi="en-US"/>
        </w:rPr>
      </w:pPr>
      <w:r>
        <w:rPr>
          <w:b/>
          <w:bCs/>
          <w:sz w:val="36"/>
          <w:lang w:bidi="en-US"/>
        </w:rPr>
        <w:t>Test Results</w:t>
      </w:r>
    </w:p>
    <w:p w14:paraId="5D1B5AF2" w14:textId="77777777" w:rsidR="00CA30D0" w:rsidRPr="00CA30D0" w:rsidRDefault="00CA30D0" w:rsidP="00CA30D0">
      <w:pPr>
        <w:ind w:left="709"/>
        <w:rPr>
          <w:b/>
          <w:bCs/>
          <w:sz w:val="36"/>
          <w:lang w:bidi="en-US"/>
        </w:rPr>
      </w:pPr>
    </w:p>
    <w:p w14:paraId="37C4626D" w14:textId="7A1FB35A" w:rsidR="004323D5" w:rsidRPr="008C536F" w:rsidRDefault="006C5C98" w:rsidP="00E2480C">
      <w:pPr>
        <w:ind w:left="709"/>
        <w:jc w:val="center"/>
        <w:rPr>
          <w:sz w:val="32"/>
        </w:rPr>
      </w:pPr>
      <w:r>
        <w:rPr>
          <w:sz w:val="32"/>
        </w:rPr>
        <w:object w:dxaOrig="1376" w:dyaOrig="893" w14:anchorId="5B7F9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85pt;height:44.5pt" o:ole="">
            <v:imagedata r:id="rId9" o:title=""/>
          </v:shape>
          <o:OLEObject Type="Embed" ProgID="Package" ShapeID="_x0000_i1027" DrawAspect="Icon" ObjectID="_1692343182" r:id="rId10"/>
        </w:object>
      </w:r>
    </w:p>
    <w:sectPr w:rsidR="004323D5" w:rsidRPr="008C536F" w:rsidSect="006C5C98">
      <w:headerReference w:type="default" r:id="rId11"/>
      <w:footerReference w:type="default" r:id="rId12"/>
      <w:headerReference w:type="first" r:id="rId13"/>
      <w:pgSz w:w="11906" w:h="16838" w:code="9"/>
      <w:pgMar w:top="2410" w:right="991" w:bottom="1134" w:left="567" w:header="0" w:footer="1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E4B9B" w14:textId="77777777" w:rsidR="007E645B" w:rsidRDefault="007E645B" w:rsidP="004323D5">
      <w:r>
        <w:separator/>
      </w:r>
    </w:p>
  </w:endnote>
  <w:endnote w:type="continuationSeparator" w:id="0">
    <w:p w14:paraId="5DC2882A" w14:textId="77777777" w:rsidR="007E645B" w:rsidRDefault="007E645B"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396BF967" w:rsidR="009219E2" w:rsidRPr="000C45B9" w:rsidRDefault="009219E2" w:rsidP="00B01AE1">
    <w:pPr>
      <w:pStyle w:val="Footer"/>
      <w:tabs>
        <w:tab w:val="left" w:pos="993"/>
      </w:tabs>
      <w:ind w:left="-993"/>
      <w:rPr>
        <w:rFonts w:cs="Calibri"/>
        <w:color w:val="262626"/>
      </w:rPr>
    </w:pPr>
    <w:r w:rsidRPr="000C45B9">
      <w:rPr>
        <w:rFonts w:cs="Calibri"/>
        <w:color w:val="262626"/>
      </w:rPr>
      <w:t xml:space="preserve">     </w:t>
    </w:r>
    <w:r w:rsidR="00E2480C">
      <w:rPr>
        <w:rFonts w:cs="Calibri"/>
        <w:color w:val="262626"/>
      </w:rPr>
      <w:tab/>
    </w:r>
    <w:r w:rsidRPr="000C45B9">
      <w:rPr>
        <w:rFonts w:cs="Calibri"/>
        <w:color w:val="262626"/>
      </w:rPr>
      <w:t xml:space="preserve">© TM Forum </w:t>
    </w:r>
    <w:r w:rsidR="00282704">
      <w:rPr>
        <w:rFonts w:cs="Calibri"/>
        <w:color w:val="262626"/>
      </w:rPr>
      <w:t>20</w:t>
    </w:r>
    <w:r w:rsidR="00627E15">
      <w:rPr>
        <w:rFonts w:cs="Calibri"/>
        <w:color w:val="262626"/>
      </w:rPr>
      <w:t>2</w:t>
    </w:r>
    <w:r w:rsidR="00F15F16">
      <w:rPr>
        <w:rFonts w:cs="Calibri"/>
        <w:color w:val="262626"/>
      </w:rPr>
      <w:t>1</w:t>
    </w:r>
    <w:r w:rsidRPr="000C45B9">
      <w:rPr>
        <w:rFonts w:cs="Calibri"/>
        <w:color w:val="262626"/>
      </w:rPr>
      <w:t xml:space="preserve">. All Rights Reserved. </w:t>
    </w:r>
    <w:r w:rsidRPr="000C45B9">
      <w:rPr>
        <w:rFonts w:cs="Calibri"/>
        <w:color w:val="262626"/>
      </w:rPr>
      <w:tab/>
    </w:r>
    <w:r>
      <w:rPr>
        <w:rFonts w:cs="Calibri"/>
        <w:color w:val="262626"/>
      </w:rPr>
      <w:tab/>
    </w:r>
    <w:r w:rsidR="00B01AE1">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CA30D0">
      <w:rPr>
        <w:rStyle w:val="PageNumber"/>
        <w:rFonts w:cs="Calibri"/>
        <w:noProof/>
        <w:color w:val="262626"/>
      </w:rPr>
      <w:t>1</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CA30D0">
      <w:rPr>
        <w:rStyle w:val="PageNumber"/>
        <w:rFonts w:cs="Calibri"/>
        <w:noProof/>
        <w:color w:val="262626"/>
      </w:rPr>
      <w:t>6</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2EC1A" w14:textId="77777777" w:rsidR="007E645B" w:rsidRDefault="007E645B" w:rsidP="004323D5">
      <w:r>
        <w:separator/>
      </w:r>
    </w:p>
  </w:footnote>
  <w:footnote w:type="continuationSeparator" w:id="0">
    <w:p w14:paraId="45459BAB" w14:textId="77777777" w:rsidR="007E645B" w:rsidRDefault="007E645B"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44724439" w:rsidR="00B00710" w:rsidRDefault="00B00710" w:rsidP="00B00710">
    <w:pPr>
      <w:pStyle w:val="Header"/>
      <w:rPr>
        <w:rFonts w:cs="Calibri"/>
      </w:rPr>
    </w:pPr>
    <w:r>
      <w:rPr>
        <w:noProof/>
      </w:rPr>
      <w:drawing>
        <wp:anchor distT="0" distB="0" distL="114300" distR="114300" simplePos="0" relativeHeight="251661312" behindDoc="1" locked="0" layoutInCell="1" allowOverlap="1" wp14:anchorId="5115E2C6" wp14:editId="05C58DC3">
          <wp:simplePos x="0" y="0"/>
          <wp:positionH relativeFrom="page">
            <wp:align>left</wp:align>
          </wp:positionH>
          <wp:positionV relativeFrom="paragraph">
            <wp:posOffset>0</wp:posOffset>
          </wp:positionV>
          <wp:extent cx="7553325" cy="673100"/>
          <wp:effectExtent l="0" t="0" r="9525"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673100"/>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1D949D3A" w:rsidR="00C96C60" w:rsidRDefault="00C96C60">
    <w:pPr>
      <w:pStyle w:val="Header"/>
    </w:pPr>
    <w:r>
      <w:rPr>
        <w:noProof/>
      </w:rPr>
      <w:drawing>
        <wp:anchor distT="0" distB="0" distL="114300" distR="114300" simplePos="0" relativeHeight="251659264" behindDoc="1" locked="0" layoutInCell="1" allowOverlap="1" wp14:anchorId="533BA209" wp14:editId="6212B2D7">
          <wp:simplePos x="0" y="0"/>
          <wp:positionH relativeFrom="column">
            <wp:posOffset>5228590</wp:posOffset>
          </wp:positionH>
          <wp:positionV relativeFrom="paragraph">
            <wp:posOffset>248920</wp:posOffset>
          </wp:positionV>
          <wp:extent cx="1617558" cy="359037"/>
          <wp:effectExtent l="0" t="0" r="1905"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5179D"/>
    <w:rsid w:val="00134635"/>
    <w:rsid w:val="0014424A"/>
    <w:rsid w:val="0015714B"/>
    <w:rsid w:val="001A18F1"/>
    <w:rsid w:val="00282704"/>
    <w:rsid w:val="002D7080"/>
    <w:rsid w:val="0033645B"/>
    <w:rsid w:val="003754D2"/>
    <w:rsid w:val="00382933"/>
    <w:rsid w:val="003C5139"/>
    <w:rsid w:val="004323D5"/>
    <w:rsid w:val="004866E9"/>
    <w:rsid w:val="004F1001"/>
    <w:rsid w:val="00565176"/>
    <w:rsid w:val="00627E15"/>
    <w:rsid w:val="00656B7C"/>
    <w:rsid w:val="006C5C98"/>
    <w:rsid w:val="00720E69"/>
    <w:rsid w:val="00721988"/>
    <w:rsid w:val="00727C91"/>
    <w:rsid w:val="007412DF"/>
    <w:rsid w:val="0074356D"/>
    <w:rsid w:val="007A277D"/>
    <w:rsid w:val="007E645B"/>
    <w:rsid w:val="00801167"/>
    <w:rsid w:val="00834582"/>
    <w:rsid w:val="008C536F"/>
    <w:rsid w:val="008D2DCE"/>
    <w:rsid w:val="0090244B"/>
    <w:rsid w:val="009219E2"/>
    <w:rsid w:val="009B1AB5"/>
    <w:rsid w:val="009E2554"/>
    <w:rsid w:val="00A033C7"/>
    <w:rsid w:val="00A77BAC"/>
    <w:rsid w:val="00AE0285"/>
    <w:rsid w:val="00B00710"/>
    <w:rsid w:val="00B01AE1"/>
    <w:rsid w:val="00B74B51"/>
    <w:rsid w:val="00BA3364"/>
    <w:rsid w:val="00C96C60"/>
    <w:rsid w:val="00CA30D0"/>
    <w:rsid w:val="00CC2BF6"/>
    <w:rsid w:val="00CD18B2"/>
    <w:rsid w:val="00E2480C"/>
    <w:rsid w:val="00EE1557"/>
    <w:rsid w:val="00F15F16"/>
    <w:rsid w:val="00F161D8"/>
    <w:rsid w:val="00F24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table" w:styleId="TableGrid">
    <w:name w:val="Table Grid"/>
    <w:aliases w:val="Table Grey"/>
    <w:basedOn w:val="TableNormal"/>
    <w:rsid w:val="003754D2"/>
    <w:pPr>
      <w:outlineLvl w:val="0"/>
    </w:pPr>
    <w:rPr>
      <w:rFonts w:ascii="Times New Roman" w:eastAsia="Times New Roman" w:hAnsi="Times New Roman" w:cs="Times New Roman"/>
      <w:sz w:val="20"/>
      <w:szCs w:val="20"/>
      <w:lang w:val="en-IE" w:eastAsia="en-IE"/>
    </w:rPr>
    <w:tblPr>
      <w:tblInd w:w="1440"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Pr>
    <w:tblStylePr w:type="firstRow">
      <w:tblPr/>
      <w:trPr>
        <w:tblHeader/>
      </w:trPr>
      <w:tcPr>
        <w:tcBorders>
          <w:top w:val="single" w:sz="6" w:space="0" w:color="595959"/>
          <w:left w:val="single" w:sz="6" w:space="0" w:color="595959"/>
          <w:bottom w:val="single" w:sz="6" w:space="0" w:color="595959"/>
          <w:right w:val="single" w:sz="6" w:space="0" w:color="595959"/>
          <w:insideH w:val="single" w:sz="6" w:space="0" w:color="595959"/>
          <w:insideV w:val="single" w:sz="6" w:space="0" w:color="595959"/>
          <w:tl2br w:val="nil"/>
          <w:tr2bl w:val="nil"/>
        </w:tcBorders>
        <w:shd w:val="clear" w:color="auto" w:fill="D9D9D9"/>
      </w:tcPr>
    </w:tblStylePr>
  </w:style>
  <w:style w:type="paragraph" w:styleId="Caption">
    <w:name w:val="caption"/>
    <w:next w:val="Normal"/>
    <w:link w:val="CaptionChar"/>
    <w:qFormat/>
    <w:rsid w:val="003754D2"/>
    <w:pPr>
      <w:spacing w:before="240" w:after="240"/>
      <w:ind w:left="1797"/>
    </w:pPr>
    <w:rPr>
      <w:rFonts w:ascii="Arial" w:eastAsia="Times New Roman" w:hAnsi="Arial" w:cs="Times New Roman"/>
      <w:bCs/>
      <w:i/>
      <w:sz w:val="20"/>
      <w:szCs w:val="18"/>
      <w:lang w:val="en-GB"/>
    </w:rPr>
  </w:style>
  <w:style w:type="paragraph" w:customStyle="1" w:styleId="Tabletext1C">
    <w:name w:val="Tabletext1C"/>
    <w:qFormat/>
    <w:rsid w:val="003754D2"/>
    <w:pPr>
      <w:spacing w:before="60" w:after="60"/>
      <w:ind w:left="57"/>
    </w:pPr>
    <w:rPr>
      <w:rFonts w:ascii="Calibri" w:eastAsia="Times New Roman" w:hAnsi="Calibri" w:cs="Times New Roman"/>
      <w:sz w:val="20"/>
      <w:szCs w:val="20"/>
      <w:lang w:val="en-GB"/>
    </w:rPr>
  </w:style>
  <w:style w:type="paragraph" w:customStyle="1" w:styleId="TableHead1C">
    <w:name w:val="TableHead1C"/>
    <w:basedOn w:val="Normal"/>
    <w:qFormat/>
    <w:rsid w:val="003754D2"/>
    <w:pPr>
      <w:keepNext/>
      <w:spacing w:before="60" w:after="60"/>
      <w:ind w:left="57"/>
    </w:pPr>
    <w:rPr>
      <w:rFonts w:eastAsia="Times New Roman" w:cs="Times New Roman"/>
      <w:b/>
      <w:szCs w:val="20"/>
      <w:lang w:val="en-GB"/>
    </w:rPr>
  </w:style>
  <w:style w:type="character" w:customStyle="1" w:styleId="CaptionChar">
    <w:name w:val="Caption Char"/>
    <w:link w:val="Caption"/>
    <w:rsid w:val="003754D2"/>
    <w:rPr>
      <w:rFonts w:ascii="Arial" w:eastAsia="Times New Roman" w:hAnsi="Arial" w:cs="Times New Roman"/>
      <w:bCs/>
      <w:i/>
      <w:sz w:val="20"/>
      <w:szCs w:val="18"/>
      <w:lang w:val="en-GB"/>
    </w:rPr>
  </w:style>
  <w:style w:type="paragraph" w:customStyle="1" w:styleId="PictureCenter">
    <w:name w:val="PictureCenter"/>
    <w:next w:val="Normal"/>
    <w:qFormat/>
    <w:rsid w:val="00CA30D0"/>
    <w:pPr>
      <w:jc w:val="center"/>
    </w:pPr>
    <w:rPr>
      <w:rFonts w:ascii="Calibri" w:eastAsia="Times New Roman" w:hAnsi="Calibri" w:cs="Times New Roman"/>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2</cp:revision>
  <dcterms:created xsi:type="dcterms:W3CDTF">2021-09-05T08:33:00Z</dcterms:created>
  <dcterms:modified xsi:type="dcterms:W3CDTF">2021-09-05T08:33:00Z</dcterms:modified>
</cp:coreProperties>
</file>